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7B48" w:rsidRPr="00F35901" w:rsidRDefault="00173A53" w:rsidP="00173A53">
      <w:pPr>
        <w:spacing w:after="0" w:line="240" w:lineRule="auto"/>
        <w:jc w:val="both"/>
        <w:rPr>
          <w:rFonts w:ascii="Arial" w:hAnsi="Arial" w:cs="Arial"/>
          <w:i/>
          <w:sz w:val="20"/>
          <w:szCs w:val="20"/>
          <w:u w:val="single"/>
        </w:rPr>
      </w:pPr>
      <w:r w:rsidRPr="00EF5A2D">
        <w:rPr>
          <w:rFonts w:ascii="Arial" w:hAnsi="Arial" w:cs="Arial"/>
          <w:i/>
          <w:sz w:val="20"/>
          <w:szCs w:val="20"/>
          <w:u w:val="single"/>
        </w:rPr>
        <w:t>Composition portant sur un sujet d’économie </w:t>
      </w:r>
      <w:r w:rsidR="000D3DF1" w:rsidRPr="00EF5A2D">
        <w:rPr>
          <w:rFonts w:ascii="Arial" w:hAnsi="Arial" w:cs="Arial"/>
          <w:i/>
          <w:sz w:val="20"/>
          <w:szCs w:val="20"/>
          <w:u w:val="single"/>
        </w:rPr>
        <w:t>:</w:t>
      </w:r>
      <w:r w:rsidR="000D3DF1">
        <w:rPr>
          <w:rFonts w:ascii="Arial" w:hAnsi="Arial" w:cs="Arial"/>
          <w:i/>
          <w:sz w:val="20"/>
          <w:szCs w:val="20"/>
          <w:u w:val="single"/>
        </w:rPr>
        <w:t xml:space="preserve"> </w:t>
      </w:r>
      <w:r w:rsidR="000D3DF1">
        <w:rPr>
          <w:rFonts w:ascii="Arial" w:hAnsi="Arial" w:cs="Arial"/>
          <w:i/>
          <w:sz w:val="20"/>
          <w:szCs w:val="20"/>
        </w:rPr>
        <w:t>Coopérations</w:t>
      </w:r>
      <w:r w:rsidR="00DC3546">
        <w:rPr>
          <w:rFonts w:ascii="Arial" w:hAnsi="Arial" w:cs="Arial"/>
          <w:i/>
          <w:sz w:val="20"/>
          <w:szCs w:val="20"/>
        </w:rPr>
        <w:t xml:space="preserve"> et interactions économiques public/privé à l’échelle locale.</w:t>
      </w:r>
    </w:p>
    <w:p w:rsidR="004C7B48" w:rsidRDefault="004C7B48" w:rsidP="00173A53">
      <w:pPr>
        <w:spacing w:after="0" w:line="240" w:lineRule="auto"/>
        <w:jc w:val="both"/>
        <w:rPr>
          <w:rFonts w:ascii="Arial" w:hAnsi="Arial" w:cs="Arial"/>
          <w:i/>
          <w:sz w:val="20"/>
          <w:szCs w:val="20"/>
        </w:rPr>
      </w:pPr>
    </w:p>
    <w:p w:rsidR="00F35901" w:rsidRDefault="00F35901" w:rsidP="00173A53">
      <w:pPr>
        <w:spacing w:after="0" w:line="240" w:lineRule="auto"/>
        <w:jc w:val="both"/>
        <w:rPr>
          <w:rFonts w:ascii="Arial" w:hAnsi="Arial" w:cs="Arial"/>
          <w:i/>
          <w:sz w:val="20"/>
          <w:szCs w:val="20"/>
        </w:rPr>
      </w:pPr>
    </w:p>
    <w:p w:rsidR="00DC3546" w:rsidRDefault="000D3DF1" w:rsidP="000D3DF1">
      <w:pPr>
        <w:spacing w:after="0" w:line="240" w:lineRule="auto"/>
        <w:ind w:firstLine="708"/>
        <w:jc w:val="both"/>
        <w:rPr>
          <w:rFonts w:ascii="Arial" w:hAnsi="Arial" w:cs="Arial"/>
          <w:sz w:val="20"/>
          <w:szCs w:val="20"/>
        </w:rPr>
      </w:pPr>
      <w:r>
        <w:rPr>
          <w:rFonts w:ascii="Arial" w:hAnsi="Arial" w:cs="Arial"/>
          <w:sz w:val="20"/>
          <w:szCs w:val="20"/>
        </w:rPr>
        <w:t>Le décret du 16 décembre 2015, en autorisant l’accès des collectivités territoriales au crowfunding sans recourir à une procédure de marché public, constitue une des dernières déclinaisons des coopérations et interactions entre le privé et le public.</w:t>
      </w:r>
    </w:p>
    <w:p w:rsidR="000D3DF1" w:rsidRDefault="000D3DF1" w:rsidP="000D3DF1">
      <w:pPr>
        <w:spacing w:after="0" w:line="240" w:lineRule="auto"/>
        <w:ind w:firstLine="708"/>
        <w:jc w:val="both"/>
        <w:rPr>
          <w:rFonts w:ascii="Arial" w:hAnsi="Arial" w:cs="Arial"/>
          <w:sz w:val="20"/>
          <w:szCs w:val="20"/>
        </w:rPr>
      </w:pPr>
      <w:r>
        <w:rPr>
          <w:rFonts w:ascii="Arial" w:hAnsi="Arial" w:cs="Arial"/>
          <w:sz w:val="20"/>
          <w:szCs w:val="20"/>
        </w:rPr>
        <w:t>Ces coopérations désignent l’ensemble des formes d’association entre les secteurs public et privé en vue d’atteindre une fin commune d’intérêt général et le développement d’un projet pour le partenaire privé qui, sinon rentable, du moins viable.</w:t>
      </w:r>
    </w:p>
    <w:p w:rsidR="000D3DF1" w:rsidRDefault="000D3DF1" w:rsidP="000D3DF1">
      <w:pPr>
        <w:spacing w:after="0" w:line="240" w:lineRule="auto"/>
        <w:ind w:firstLine="708"/>
        <w:jc w:val="both"/>
        <w:rPr>
          <w:rFonts w:ascii="Arial" w:hAnsi="Arial" w:cs="Arial"/>
          <w:sz w:val="20"/>
          <w:szCs w:val="20"/>
        </w:rPr>
      </w:pPr>
      <w:r>
        <w:rPr>
          <w:rFonts w:ascii="Arial" w:hAnsi="Arial" w:cs="Arial"/>
          <w:sz w:val="20"/>
          <w:szCs w:val="20"/>
        </w:rPr>
        <w:t xml:space="preserve">Ces interactions sont particulièrement </w:t>
      </w:r>
      <w:r w:rsidR="008B7A5F">
        <w:rPr>
          <w:rFonts w:ascii="Arial" w:hAnsi="Arial" w:cs="Arial"/>
          <w:sz w:val="20"/>
          <w:szCs w:val="20"/>
        </w:rPr>
        <w:t xml:space="preserve">utiles dans une période où les capacités financières </w:t>
      </w:r>
      <w:r w:rsidR="000F6EDE">
        <w:rPr>
          <w:rFonts w:ascii="Arial" w:hAnsi="Arial" w:cs="Arial"/>
          <w:sz w:val="20"/>
          <w:szCs w:val="20"/>
        </w:rPr>
        <w:t>d</w:t>
      </w:r>
      <w:r w:rsidR="008B7A5F">
        <w:rPr>
          <w:rFonts w:ascii="Arial" w:hAnsi="Arial" w:cs="Arial"/>
          <w:sz w:val="20"/>
          <w:szCs w:val="20"/>
        </w:rPr>
        <w:t xml:space="preserve">es collectivités s’amenuisent alors que les partenaires privés ont davantage de difficultés </w:t>
      </w:r>
      <w:r w:rsidR="000F6EDE">
        <w:rPr>
          <w:rFonts w:ascii="Arial" w:hAnsi="Arial" w:cs="Arial"/>
          <w:sz w:val="20"/>
          <w:szCs w:val="20"/>
        </w:rPr>
        <w:t>à trouver des financements. Mais ces coopérations doivent être adaptées et équilibrées pour que le partenariat soit bénéfique pour les deux parties et ne soit pas un jeu à somme nulle.</w:t>
      </w:r>
    </w:p>
    <w:p w:rsidR="000F6EDE" w:rsidRDefault="000F6EDE" w:rsidP="000D3DF1">
      <w:pPr>
        <w:spacing w:after="0" w:line="240" w:lineRule="auto"/>
        <w:ind w:firstLine="708"/>
        <w:jc w:val="both"/>
        <w:rPr>
          <w:rFonts w:ascii="Arial" w:hAnsi="Arial" w:cs="Arial"/>
          <w:sz w:val="20"/>
          <w:szCs w:val="20"/>
        </w:rPr>
      </w:pPr>
      <w:r>
        <w:rPr>
          <w:rFonts w:ascii="Arial" w:hAnsi="Arial" w:cs="Arial"/>
          <w:sz w:val="20"/>
          <w:szCs w:val="20"/>
        </w:rPr>
        <w:t>Réponse à des besoins locaux non satisfaits, la diversification récente des outils de coopération public-privé a renouvelé leur intérêt (I). Pour limiter le risque financier supporté par la collectivité et l’anti sélection des projets soutenus, ces coopérations doivent être soumises à une évaluation préalable (II).</w:t>
      </w:r>
    </w:p>
    <w:p w:rsidR="000F6EDE" w:rsidRDefault="000F6EDE" w:rsidP="000D3DF1">
      <w:pPr>
        <w:spacing w:after="0" w:line="240" w:lineRule="auto"/>
        <w:ind w:firstLine="708"/>
        <w:jc w:val="both"/>
        <w:rPr>
          <w:rFonts w:ascii="Arial" w:hAnsi="Arial" w:cs="Arial"/>
          <w:sz w:val="20"/>
          <w:szCs w:val="20"/>
        </w:rPr>
      </w:pPr>
    </w:p>
    <w:p w:rsidR="000F6EDE" w:rsidRDefault="000F6EDE" w:rsidP="000D3DF1">
      <w:pPr>
        <w:spacing w:after="0" w:line="240" w:lineRule="auto"/>
        <w:ind w:firstLine="708"/>
        <w:jc w:val="both"/>
        <w:rPr>
          <w:rFonts w:ascii="Arial" w:hAnsi="Arial" w:cs="Arial"/>
          <w:sz w:val="20"/>
          <w:szCs w:val="20"/>
        </w:rPr>
      </w:pPr>
    </w:p>
    <w:p w:rsidR="000F6EDE" w:rsidRDefault="000F6EDE" w:rsidP="000F6EDE">
      <w:pPr>
        <w:pStyle w:val="Paragraphedeliste"/>
        <w:numPr>
          <w:ilvl w:val="0"/>
          <w:numId w:val="24"/>
        </w:numPr>
        <w:spacing w:after="0" w:line="240" w:lineRule="auto"/>
        <w:jc w:val="both"/>
        <w:rPr>
          <w:rFonts w:ascii="Arial" w:hAnsi="Arial" w:cs="Arial"/>
          <w:sz w:val="20"/>
          <w:szCs w:val="20"/>
        </w:rPr>
      </w:pPr>
      <w:r w:rsidRPr="00946F9C">
        <w:rPr>
          <w:rFonts w:ascii="Arial" w:hAnsi="Arial" w:cs="Arial"/>
          <w:sz w:val="20"/>
          <w:szCs w:val="20"/>
          <w:u w:val="single"/>
        </w:rPr>
        <w:t>Réponse à des besoins locaux non satisfaits, la diversification récente des outils de coopération public-privé a renouvelé leur intérêt</w:t>
      </w:r>
      <w:r>
        <w:rPr>
          <w:rFonts w:ascii="Arial" w:hAnsi="Arial" w:cs="Arial"/>
          <w:sz w:val="20"/>
          <w:szCs w:val="20"/>
        </w:rPr>
        <w:t>.</w:t>
      </w:r>
      <w:r w:rsidRPr="000F6EDE">
        <w:rPr>
          <w:rFonts w:ascii="Arial" w:hAnsi="Arial" w:cs="Arial"/>
          <w:sz w:val="20"/>
          <w:szCs w:val="20"/>
        </w:rPr>
        <w:t xml:space="preserve"> </w:t>
      </w:r>
    </w:p>
    <w:p w:rsidR="00EE4FBB" w:rsidRDefault="00EE4FBB" w:rsidP="00EE4FBB">
      <w:pPr>
        <w:spacing w:after="0" w:line="240" w:lineRule="auto"/>
        <w:jc w:val="both"/>
        <w:rPr>
          <w:rFonts w:ascii="Arial" w:hAnsi="Arial" w:cs="Arial"/>
          <w:sz w:val="20"/>
          <w:szCs w:val="20"/>
        </w:rPr>
      </w:pPr>
    </w:p>
    <w:p w:rsidR="00EE4FBB" w:rsidRPr="00EE4FBB" w:rsidRDefault="00EE4FBB" w:rsidP="00EE4FBB">
      <w:pPr>
        <w:pStyle w:val="Paragraphedeliste"/>
        <w:numPr>
          <w:ilvl w:val="0"/>
          <w:numId w:val="25"/>
        </w:numPr>
        <w:spacing w:after="0" w:line="240" w:lineRule="auto"/>
        <w:jc w:val="both"/>
        <w:rPr>
          <w:rFonts w:ascii="Arial" w:hAnsi="Arial" w:cs="Arial"/>
          <w:sz w:val="20"/>
          <w:szCs w:val="20"/>
        </w:rPr>
      </w:pPr>
      <w:r w:rsidRPr="00EE4FBB">
        <w:rPr>
          <w:rFonts w:ascii="Arial" w:hAnsi="Arial" w:cs="Arial"/>
          <w:sz w:val="20"/>
          <w:szCs w:val="20"/>
          <w:u w:val="single"/>
        </w:rPr>
        <w:t>Les interactions public-privé répondent à des besoins d’intérêt général non satisfaits sur le territoire</w:t>
      </w:r>
      <w:r>
        <w:rPr>
          <w:rFonts w:ascii="Arial" w:hAnsi="Arial" w:cs="Arial"/>
          <w:sz w:val="20"/>
          <w:szCs w:val="20"/>
        </w:rPr>
        <w:t>.</w:t>
      </w:r>
    </w:p>
    <w:p w:rsidR="00EE4FBB" w:rsidRDefault="00EE4FBB" w:rsidP="00EE4FBB">
      <w:pPr>
        <w:spacing w:after="0" w:line="240" w:lineRule="auto"/>
        <w:jc w:val="both"/>
        <w:rPr>
          <w:rFonts w:ascii="Arial" w:hAnsi="Arial" w:cs="Arial"/>
          <w:sz w:val="20"/>
          <w:szCs w:val="20"/>
        </w:rPr>
      </w:pPr>
    </w:p>
    <w:p w:rsidR="00C35E8E" w:rsidRDefault="00D003F7" w:rsidP="00D003F7">
      <w:pPr>
        <w:spacing w:after="0" w:line="240" w:lineRule="auto"/>
        <w:ind w:firstLine="708"/>
        <w:jc w:val="both"/>
        <w:rPr>
          <w:rFonts w:ascii="Arial" w:hAnsi="Arial" w:cs="Arial"/>
          <w:sz w:val="20"/>
          <w:szCs w:val="20"/>
        </w:rPr>
      </w:pPr>
      <w:r>
        <w:rPr>
          <w:rFonts w:ascii="Arial" w:hAnsi="Arial" w:cs="Arial"/>
          <w:sz w:val="20"/>
          <w:szCs w:val="20"/>
        </w:rPr>
        <w:t xml:space="preserve">Les acteurs privés qui portent des projets dont le rendement social est supérieur au rendement privé </w:t>
      </w:r>
      <w:r w:rsidR="00CC6E04">
        <w:rPr>
          <w:rFonts w:ascii="Arial" w:hAnsi="Arial" w:cs="Arial"/>
          <w:sz w:val="20"/>
          <w:szCs w:val="20"/>
        </w:rPr>
        <w:t>sont souvent confrontés à des difficultés de financement. En particulier pour les acteurs de l’économie sociale et solidaire</w:t>
      </w:r>
      <w:r w:rsidR="009E4996">
        <w:rPr>
          <w:rFonts w:ascii="Arial" w:hAnsi="Arial" w:cs="Arial"/>
          <w:sz w:val="20"/>
          <w:szCs w:val="20"/>
        </w:rPr>
        <w:t>, l’accès aux marchés financiers est impossible et les financements</w:t>
      </w:r>
      <w:r w:rsidR="00C35E8E">
        <w:rPr>
          <w:rFonts w:ascii="Arial" w:hAnsi="Arial" w:cs="Arial"/>
          <w:sz w:val="20"/>
          <w:szCs w:val="20"/>
        </w:rPr>
        <w:t xml:space="preserve"> bancaires rares du fait d’un risque plus élevé. </w:t>
      </w:r>
    </w:p>
    <w:p w:rsidR="00C35E8E" w:rsidRDefault="00C35E8E" w:rsidP="00D003F7">
      <w:pPr>
        <w:spacing w:after="0" w:line="240" w:lineRule="auto"/>
        <w:ind w:firstLine="708"/>
        <w:jc w:val="both"/>
        <w:rPr>
          <w:rFonts w:ascii="Arial" w:hAnsi="Arial" w:cs="Arial"/>
          <w:sz w:val="20"/>
          <w:szCs w:val="20"/>
        </w:rPr>
      </w:pPr>
    </w:p>
    <w:p w:rsidR="00D003F7" w:rsidRDefault="00C35E8E" w:rsidP="00D003F7">
      <w:pPr>
        <w:spacing w:after="0" w:line="240" w:lineRule="auto"/>
        <w:ind w:firstLine="708"/>
        <w:jc w:val="both"/>
        <w:rPr>
          <w:rFonts w:ascii="Arial" w:hAnsi="Arial" w:cs="Arial"/>
          <w:sz w:val="20"/>
          <w:szCs w:val="20"/>
        </w:rPr>
      </w:pPr>
      <w:r>
        <w:rPr>
          <w:rFonts w:ascii="Arial" w:hAnsi="Arial" w:cs="Arial"/>
          <w:sz w:val="20"/>
          <w:szCs w:val="20"/>
        </w:rPr>
        <w:t xml:space="preserve">Dans cette situation, la collectivité locale est légitime à intervenir pour internaliser ces externalités positives mais, dans un contexte de contrainte financière, elle n’a pas la capacité à porter le projet. De même, une intervention directe de la collectivité pour porter le projet peut s’avérer sous-optimal ou porter atteinte à la concurrence. Par exemple, les communes n’envisagent plus en cas de carence de l’initiative privée </w:t>
      </w:r>
      <w:r w:rsidR="00C249CC">
        <w:rPr>
          <w:rFonts w:ascii="Arial" w:hAnsi="Arial" w:cs="Arial"/>
          <w:sz w:val="20"/>
          <w:szCs w:val="20"/>
        </w:rPr>
        <w:t>de développer des services publics à caractère économique comme c’était le cas au début du XXème siècle avec le mouvement du socialisme municipal.</w:t>
      </w:r>
    </w:p>
    <w:p w:rsidR="00C249CC" w:rsidRDefault="00C249CC" w:rsidP="00D003F7">
      <w:pPr>
        <w:spacing w:after="0" w:line="240" w:lineRule="auto"/>
        <w:ind w:firstLine="708"/>
        <w:jc w:val="both"/>
        <w:rPr>
          <w:rFonts w:ascii="Arial" w:hAnsi="Arial" w:cs="Arial"/>
          <w:sz w:val="20"/>
          <w:szCs w:val="20"/>
        </w:rPr>
      </w:pPr>
    </w:p>
    <w:p w:rsidR="00C249CC" w:rsidRDefault="00C249CC" w:rsidP="00D003F7">
      <w:pPr>
        <w:spacing w:after="0" w:line="240" w:lineRule="auto"/>
        <w:ind w:firstLine="708"/>
        <w:jc w:val="both"/>
        <w:rPr>
          <w:rFonts w:ascii="Arial" w:hAnsi="Arial" w:cs="Arial"/>
          <w:sz w:val="20"/>
          <w:szCs w:val="20"/>
        </w:rPr>
      </w:pPr>
      <w:r>
        <w:rPr>
          <w:rFonts w:ascii="Arial" w:hAnsi="Arial" w:cs="Arial"/>
          <w:sz w:val="20"/>
          <w:szCs w:val="20"/>
        </w:rPr>
        <w:t xml:space="preserve">En conséquence, une coopération public-privé se justifie pour mener à bien ce projet commun d’intérêt général. Ces formes de partenariat </w:t>
      </w:r>
      <w:r w:rsidR="00A3366D">
        <w:rPr>
          <w:rFonts w:ascii="Arial" w:hAnsi="Arial" w:cs="Arial"/>
          <w:sz w:val="20"/>
          <w:szCs w:val="20"/>
        </w:rPr>
        <w:t xml:space="preserve">sont pour certaines anciennes avec le recours aux SEM depuis les années 80 ou le mécénat. De même, les partenariats </w:t>
      </w:r>
      <w:r w:rsidR="005475EA">
        <w:rPr>
          <w:rFonts w:ascii="Arial" w:hAnsi="Arial" w:cs="Arial"/>
          <w:sz w:val="20"/>
          <w:szCs w:val="20"/>
        </w:rPr>
        <w:t xml:space="preserve">public-privé incluant au sens large les marchés publics et les délégations de service public sont des formules éprouvées d’interaction </w:t>
      </w:r>
      <w:r w:rsidR="00944747">
        <w:rPr>
          <w:rFonts w:ascii="Arial" w:hAnsi="Arial" w:cs="Arial"/>
          <w:sz w:val="20"/>
          <w:szCs w:val="20"/>
        </w:rPr>
        <w:t>entre le public et le privé.</w:t>
      </w:r>
    </w:p>
    <w:p w:rsidR="00944747" w:rsidRDefault="00944747" w:rsidP="00D003F7">
      <w:pPr>
        <w:spacing w:after="0" w:line="240" w:lineRule="auto"/>
        <w:ind w:firstLine="708"/>
        <w:jc w:val="both"/>
        <w:rPr>
          <w:rFonts w:ascii="Arial" w:hAnsi="Arial" w:cs="Arial"/>
          <w:sz w:val="20"/>
          <w:szCs w:val="20"/>
        </w:rPr>
      </w:pPr>
    </w:p>
    <w:p w:rsidR="00944747" w:rsidRDefault="00944747" w:rsidP="00944747">
      <w:pPr>
        <w:pStyle w:val="Paragraphedeliste"/>
        <w:numPr>
          <w:ilvl w:val="0"/>
          <w:numId w:val="25"/>
        </w:numPr>
        <w:spacing w:after="0" w:line="240" w:lineRule="auto"/>
        <w:jc w:val="both"/>
        <w:rPr>
          <w:rFonts w:ascii="Arial" w:hAnsi="Arial" w:cs="Arial"/>
          <w:sz w:val="20"/>
          <w:szCs w:val="20"/>
          <w:u w:val="single"/>
        </w:rPr>
      </w:pPr>
      <w:r w:rsidRPr="001A5E9C">
        <w:rPr>
          <w:rFonts w:ascii="Arial" w:hAnsi="Arial" w:cs="Arial"/>
          <w:sz w:val="20"/>
          <w:szCs w:val="20"/>
          <w:u w:val="single"/>
        </w:rPr>
        <w:t xml:space="preserve">Ces outils de coopération se sont récemment diversifiés renouvelant </w:t>
      </w:r>
      <w:r w:rsidR="001A5E9C" w:rsidRPr="001A5E9C">
        <w:rPr>
          <w:rFonts w:ascii="Arial" w:hAnsi="Arial" w:cs="Arial"/>
          <w:sz w:val="20"/>
          <w:szCs w:val="20"/>
          <w:u w:val="single"/>
        </w:rPr>
        <w:t>ainsi leur intérêt</w:t>
      </w:r>
    </w:p>
    <w:p w:rsidR="008C2A0B" w:rsidRDefault="008C2A0B" w:rsidP="008C2A0B">
      <w:pPr>
        <w:spacing w:after="0" w:line="240" w:lineRule="auto"/>
        <w:jc w:val="both"/>
        <w:rPr>
          <w:rFonts w:ascii="Arial" w:hAnsi="Arial" w:cs="Arial"/>
          <w:sz w:val="20"/>
          <w:szCs w:val="20"/>
          <w:u w:val="single"/>
        </w:rPr>
      </w:pPr>
    </w:p>
    <w:p w:rsidR="008C2A0B" w:rsidRDefault="008C2A0B" w:rsidP="00AA693F">
      <w:pPr>
        <w:spacing w:after="0" w:line="240" w:lineRule="auto"/>
        <w:ind w:firstLine="708"/>
        <w:jc w:val="both"/>
        <w:rPr>
          <w:rFonts w:ascii="Arial" w:hAnsi="Arial" w:cs="Arial"/>
          <w:sz w:val="20"/>
          <w:szCs w:val="20"/>
        </w:rPr>
      </w:pPr>
      <w:r w:rsidRPr="008C2A0B">
        <w:rPr>
          <w:rFonts w:ascii="Arial" w:hAnsi="Arial" w:cs="Arial"/>
          <w:sz w:val="20"/>
          <w:szCs w:val="20"/>
        </w:rPr>
        <w:t xml:space="preserve">Depuis </w:t>
      </w:r>
      <w:r w:rsidR="00AA693F">
        <w:rPr>
          <w:rFonts w:ascii="Arial" w:hAnsi="Arial" w:cs="Arial"/>
          <w:sz w:val="20"/>
          <w:szCs w:val="20"/>
        </w:rPr>
        <w:t xml:space="preserve">un peu plus de 10 ans, les formes d’interaction entre le public et le privé se sont considérablement enrichies pour répondre </w:t>
      </w:r>
      <w:r w:rsidR="003D45FE">
        <w:rPr>
          <w:rFonts w:ascii="Arial" w:hAnsi="Arial" w:cs="Arial"/>
          <w:sz w:val="20"/>
          <w:szCs w:val="20"/>
        </w:rPr>
        <w:t>à la diversité des besoins rencontrés.</w:t>
      </w:r>
    </w:p>
    <w:p w:rsidR="003D45FE" w:rsidRDefault="003D45FE" w:rsidP="00AA693F">
      <w:pPr>
        <w:spacing w:after="0" w:line="240" w:lineRule="auto"/>
        <w:ind w:firstLine="708"/>
        <w:jc w:val="both"/>
        <w:rPr>
          <w:rFonts w:ascii="Arial" w:hAnsi="Arial" w:cs="Arial"/>
          <w:sz w:val="20"/>
          <w:szCs w:val="20"/>
        </w:rPr>
      </w:pPr>
    </w:p>
    <w:p w:rsidR="003D45FE" w:rsidRDefault="003D45FE" w:rsidP="00AA693F">
      <w:pPr>
        <w:spacing w:after="0" w:line="240" w:lineRule="auto"/>
        <w:ind w:firstLine="708"/>
        <w:jc w:val="both"/>
        <w:rPr>
          <w:rFonts w:ascii="Arial" w:hAnsi="Arial" w:cs="Arial"/>
          <w:sz w:val="20"/>
          <w:szCs w:val="20"/>
        </w:rPr>
      </w:pPr>
      <w:r w:rsidRPr="003D45FE">
        <w:rPr>
          <w:rFonts w:ascii="Arial" w:hAnsi="Arial" w:cs="Arial"/>
          <w:sz w:val="20"/>
          <w:szCs w:val="20"/>
          <w:u w:val="single"/>
        </w:rPr>
        <w:t>Des formules institutionnelles</w:t>
      </w:r>
      <w:r>
        <w:rPr>
          <w:rFonts w:ascii="Arial" w:hAnsi="Arial" w:cs="Arial"/>
          <w:sz w:val="20"/>
          <w:szCs w:val="20"/>
        </w:rPr>
        <w:t xml:space="preserve"> ont été créées. Parmi celles-ci, des </w:t>
      </w:r>
      <w:r w:rsidRPr="003D45FE">
        <w:rPr>
          <w:rFonts w:ascii="Arial" w:hAnsi="Arial" w:cs="Arial"/>
          <w:sz w:val="20"/>
          <w:szCs w:val="20"/>
          <w:u w:val="single"/>
        </w:rPr>
        <w:t>pôles de compétitivité</w:t>
      </w:r>
      <w:r>
        <w:rPr>
          <w:rFonts w:ascii="Arial" w:hAnsi="Arial" w:cs="Arial"/>
          <w:sz w:val="20"/>
          <w:szCs w:val="20"/>
        </w:rPr>
        <w:t xml:space="preserve"> permettent </w:t>
      </w:r>
      <w:r w:rsidR="00741D13">
        <w:rPr>
          <w:rFonts w:ascii="Arial" w:hAnsi="Arial" w:cs="Arial"/>
          <w:sz w:val="20"/>
          <w:szCs w:val="20"/>
        </w:rPr>
        <w:t xml:space="preserve">depuis 2006 de regrouper </w:t>
      </w:r>
      <w:r w:rsidR="005F6F48">
        <w:rPr>
          <w:rFonts w:ascii="Arial" w:hAnsi="Arial" w:cs="Arial"/>
          <w:sz w:val="20"/>
          <w:szCs w:val="20"/>
        </w:rPr>
        <w:t xml:space="preserve">sur un même site des acteurs privés de la recherche et de l’industrie autour d’un secteur spécifique. Au-delà des effets d’agglomération et des synergies attendues, les 71 pôles existants bénéficient </w:t>
      </w:r>
      <w:r w:rsidR="003362B7">
        <w:rPr>
          <w:rFonts w:ascii="Arial" w:hAnsi="Arial" w:cs="Arial"/>
          <w:sz w:val="20"/>
          <w:szCs w:val="20"/>
        </w:rPr>
        <w:t>d’aides et d’infrast</w:t>
      </w:r>
      <w:r w:rsidR="008605CB">
        <w:rPr>
          <w:rFonts w:ascii="Arial" w:hAnsi="Arial" w:cs="Arial"/>
          <w:sz w:val="20"/>
          <w:szCs w:val="20"/>
        </w:rPr>
        <w:t>ructures publique</w:t>
      </w:r>
      <w:r w:rsidR="003362B7">
        <w:rPr>
          <w:rFonts w:ascii="Arial" w:hAnsi="Arial" w:cs="Arial"/>
          <w:sz w:val="20"/>
          <w:szCs w:val="20"/>
        </w:rPr>
        <w:t>s propres à accompagner leur développement. Les sociétés coopératives d’intérêt collectif (</w:t>
      </w:r>
      <w:r w:rsidR="003362B7" w:rsidRPr="003362B7">
        <w:rPr>
          <w:rFonts w:ascii="Arial" w:hAnsi="Arial" w:cs="Arial"/>
          <w:sz w:val="20"/>
          <w:szCs w:val="20"/>
          <w:u w:val="single"/>
        </w:rPr>
        <w:t>SCIC</w:t>
      </w:r>
      <w:r w:rsidR="003362B7">
        <w:rPr>
          <w:rFonts w:ascii="Arial" w:hAnsi="Arial" w:cs="Arial"/>
          <w:sz w:val="20"/>
          <w:szCs w:val="20"/>
        </w:rPr>
        <w:t xml:space="preserve">) </w:t>
      </w:r>
      <w:r w:rsidR="003B7539">
        <w:rPr>
          <w:rFonts w:ascii="Arial" w:hAnsi="Arial" w:cs="Arial"/>
          <w:sz w:val="20"/>
          <w:szCs w:val="20"/>
        </w:rPr>
        <w:t>créée</w:t>
      </w:r>
      <w:r w:rsidR="008605CB">
        <w:rPr>
          <w:rFonts w:ascii="Arial" w:hAnsi="Arial" w:cs="Arial"/>
          <w:sz w:val="20"/>
          <w:szCs w:val="20"/>
        </w:rPr>
        <w:t>s</w:t>
      </w:r>
      <w:r w:rsidR="003B7539">
        <w:rPr>
          <w:rFonts w:ascii="Arial" w:hAnsi="Arial" w:cs="Arial"/>
          <w:sz w:val="20"/>
          <w:szCs w:val="20"/>
        </w:rPr>
        <w:t xml:space="preserve"> par une loi de 2014 ont également pour vocation </w:t>
      </w:r>
      <w:r w:rsidR="00517CA3">
        <w:rPr>
          <w:rFonts w:ascii="Arial" w:hAnsi="Arial" w:cs="Arial"/>
          <w:sz w:val="20"/>
          <w:szCs w:val="20"/>
        </w:rPr>
        <w:t>de financer des projets d’utilité sociale grâce à une participation des collectivités au capital jusqu’à 50%. Cette formule qui a connu un franc succès a vu son nombre augmenter de 40% entre 2011 et 2013. On en dénombre 300 actuellement et elles pourraient se développer sur les thématiques des politiques sociales et de santé.</w:t>
      </w:r>
    </w:p>
    <w:p w:rsidR="00517CA3" w:rsidRDefault="00517CA3" w:rsidP="00AA693F">
      <w:pPr>
        <w:spacing w:after="0" w:line="240" w:lineRule="auto"/>
        <w:ind w:firstLine="708"/>
        <w:jc w:val="both"/>
        <w:rPr>
          <w:rFonts w:ascii="Arial" w:hAnsi="Arial" w:cs="Arial"/>
          <w:sz w:val="20"/>
          <w:szCs w:val="20"/>
        </w:rPr>
      </w:pPr>
    </w:p>
    <w:p w:rsidR="00517CA3" w:rsidRDefault="00517CA3" w:rsidP="00AA693F">
      <w:pPr>
        <w:spacing w:after="0" w:line="240" w:lineRule="auto"/>
        <w:ind w:firstLine="708"/>
        <w:jc w:val="both"/>
        <w:rPr>
          <w:rFonts w:ascii="Arial" w:hAnsi="Arial" w:cs="Arial"/>
          <w:sz w:val="20"/>
          <w:szCs w:val="20"/>
        </w:rPr>
      </w:pPr>
      <w:r>
        <w:rPr>
          <w:rFonts w:ascii="Arial" w:hAnsi="Arial" w:cs="Arial"/>
          <w:sz w:val="20"/>
          <w:szCs w:val="20"/>
        </w:rPr>
        <w:lastRenderedPageBreak/>
        <w:t xml:space="preserve">D’autres formes s’apparentent au </w:t>
      </w:r>
      <w:r w:rsidRPr="00517CA3">
        <w:rPr>
          <w:rFonts w:ascii="Arial" w:hAnsi="Arial" w:cs="Arial"/>
          <w:sz w:val="20"/>
          <w:szCs w:val="20"/>
          <w:u w:val="single"/>
        </w:rPr>
        <w:t>partenariat par contrat</w:t>
      </w:r>
      <w:r>
        <w:rPr>
          <w:rFonts w:ascii="Arial" w:hAnsi="Arial" w:cs="Arial"/>
          <w:sz w:val="20"/>
          <w:szCs w:val="20"/>
        </w:rPr>
        <w:t>.</w:t>
      </w:r>
      <w:r w:rsidR="00922125">
        <w:rPr>
          <w:rFonts w:ascii="Arial" w:hAnsi="Arial" w:cs="Arial"/>
          <w:sz w:val="20"/>
          <w:szCs w:val="20"/>
        </w:rPr>
        <w:t xml:space="preserve"> </w:t>
      </w:r>
      <w:r w:rsidR="00922125" w:rsidRPr="00922125">
        <w:rPr>
          <w:rFonts w:ascii="Arial" w:hAnsi="Arial" w:cs="Arial"/>
          <w:sz w:val="20"/>
          <w:szCs w:val="20"/>
          <w:u w:val="single"/>
        </w:rPr>
        <w:t>Le contrat de partenariat</w:t>
      </w:r>
      <w:r w:rsidR="00922125">
        <w:rPr>
          <w:rFonts w:ascii="Arial" w:hAnsi="Arial" w:cs="Arial"/>
          <w:sz w:val="20"/>
          <w:szCs w:val="20"/>
        </w:rPr>
        <w:t>, créé</w:t>
      </w:r>
      <w:r w:rsidR="00173EE2">
        <w:rPr>
          <w:rFonts w:ascii="Arial" w:hAnsi="Arial" w:cs="Arial"/>
          <w:sz w:val="20"/>
          <w:szCs w:val="20"/>
        </w:rPr>
        <w:t xml:space="preserve"> par une ordonnance </w:t>
      </w:r>
      <w:r w:rsidR="008C4B3F">
        <w:rPr>
          <w:rFonts w:ascii="Arial" w:hAnsi="Arial" w:cs="Arial"/>
          <w:sz w:val="20"/>
          <w:szCs w:val="20"/>
        </w:rPr>
        <w:t xml:space="preserve">de 2004, permet de réaliser des équipements d’intérêt public, et d’en assurer éventuellement l’exploitation, sous maîtrise d’ouvrage privée. </w:t>
      </w:r>
      <w:r w:rsidR="00E02034">
        <w:rPr>
          <w:rFonts w:ascii="Arial" w:hAnsi="Arial" w:cs="Arial"/>
          <w:sz w:val="20"/>
          <w:szCs w:val="20"/>
        </w:rPr>
        <w:t>Utilisés souvent pour réaliser des équipements sportifs tels que des stades comme à Bordeaux ou à Lille, ils offrent à la collectivité</w:t>
      </w:r>
      <w:r w:rsidR="00214284">
        <w:rPr>
          <w:rFonts w:ascii="Arial" w:hAnsi="Arial" w:cs="Arial"/>
          <w:sz w:val="20"/>
          <w:szCs w:val="20"/>
        </w:rPr>
        <w:t xml:space="preserve"> la possibilité de payer à tempérament l’investissement et de confier l’ingénierie du projet à des entreprises spécialisées. Plus récemment, la panoplie des coopérations s’est enrichie des </w:t>
      </w:r>
      <w:r w:rsidR="00214284" w:rsidRPr="00214284">
        <w:rPr>
          <w:rFonts w:ascii="Arial" w:hAnsi="Arial" w:cs="Arial"/>
          <w:sz w:val="20"/>
          <w:szCs w:val="20"/>
          <w:u w:val="single"/>
        </w:rPr>
        <w:t>SEMOP</w:t>
      </w:r>
      <w:r w:rsidR="004F72AC">
        <w:rPr>
          <w:rFonts w:ascii="Arial" w:hAnsi="Arial" w:cs="Arial"/>
          <w:sz w:val="20"/>
          <w:szCs w:val="20"/>
        </w:rPr>
        <w:t xml:space="preserve"> c’est-à-dire à opération unique : à mi-chemin entre la société et le contrat, la collectivité lance une procédure de mise en concurrence pour choisir son actionnaire partenaire dans un projet de réalisation de construction, d’aménagement, de gestion d’un service public ou d’une opération d’intérêt général.</w:t>
      </w:r>
    </w:p>
    <w:p w:rsidR="004F72AC" w:rsidRDefault="004F72AC" w:rsidP="00AA693F">
      <w:pPr>
        <w:spacing w:after="0" w:line="240" w:lineRule="auto"/>
        <w:ind w:firstLine="708"/>
        <w:jc w:val="both"/>
        <w:rPr>
          <w:rFonts w:ascii="Arial" w:hAnsi="Arial" w:cs="Arial"/>
          <w:sz w:val="20"/>
          <w:szCs w:val="20"/>
        </w:rPr>
      </w:pPr>
    </w:p>
    <w:p w:rsidR="004F72AC" w:rsidRDefault="004F72AC" w:rsidP="00AA693F">
      <w:pPr>
        <w:spacing w:after="0" w:line="240" w:lineRule="auto"/>
        <w:ind w:firstLine="708"/>
        <w:jc w:val="both"/>
        <w:rPr>
          <w:rFonts w:ascii="Arial" w:hAnsi="Arial" w:cs="Arial"/>
          <w:sz w:val="20"/>
          <w:szCs w:val="20"/>
        </w:rPr>
      </w:pPr>
      <w:r>
        <w:rPr>
          <w:rFonts w:ascii="Arial" w:hAnsi="Arial" w:cs="Arial"/>
          <w:sz w:val="20"/>
          <w:szCs w:val="20"/>
        </w:rPr>
        <w:t>Si les outils de coopération se sont diversifiés pour répondre à un réel besoin de réalisation de projets d’intérêt local, ils n’e</w:t>
      </w:r>
      <w:r w:rsidR="008605CB">
        <w:rPr>
          <w:rFonts w:ascii="Arial" w:hAnsi="Arial" w:cs="Arial"/>
          <w:sz w:val="20"/>
          <w:szCs w:val="20"/>
        </w:rPr>
        <w:t>n</w:t>
      </w:r>
      <w:bookmarkStart w:id="0" w:name="_GoBack"/>
      <w:bookmarkEnd w:id="0"/>
      <w:r>
        <w:rPr>
          <w:rFonts w:ascii="Arial" w:hAnsi="Arial" w:cs="Arial"/>
          <w:sz w:val="20"/>
          <w:szCs w:val="20"/>
        </w:rPr>
        <w:t xml:space="preserve"> comportent pas moins des risques, particulièrement pour la collectivité, au</w:t>
      </w:r>
      <w:r w:rsidR="00124B9D">
        <w:rPr>
          <w:rFonts w:ascii="Arial" w:hAnsi="Arial" w:cs="Arial"/>
          <w:sz w:val="20"/>
          <w:szCs w:val="20"/>
        </w:rPr>
        <w:t>xquels il convient de prêter attention.</w:t>
      </w:r>
    </w:p>
    <w:p w:rsidR="00124B9D" w:rsidRDefault="00124B9D" w:rsidP="00AA693F">
      <w:pPr>
        <w:spacing w:after="0" w:line="240" w:lineRule="auto"/>
        <w:ind w:firstLine="708"/>
        <w:jc w:val="both"/>
        <w:rPr>
          <w:rFonts w:ascii="Arial" w:hAnsi="Arial" w:cs="Arial"/>
          <w:sz w:val="20"/>
          <w:szCs w:val="20"/>
        </w:rPr>
      </w:pPr>
    </w:p>
    <w:p w:rsidR="00124B9D" w:rsidRDefault="00124B9D" w:rsidP="00AA693F">
      <w:pPr>
        <w:spacing w:after="0" w:line="240" w:lineRule="auto"/>
        <w:ind w:firstLine="708"/>
        <w:jc w:val="both"/>
        <w:rPr>
          <w:rFonts w:ascii="Arial" w:hAnsi="Arial" w:cs="Arial"/>
          <w:sz w:val="20"/>
          <w:szCs w:val="20"/>
        </w:rPr>
      </w:pPr>
    </w:p>
    <w:p w:rsidR="00124B9D" w:rsidRDefault="00124B9D" w:rsidP="00AA693F">
      <w:pPr>
        <w:spacing w:after="0" w:line="240" w:lineRule="auto"/>
        <w:ind w:firstLine="708"/>
        <w:jc w:val="both"/>
        <w:rPr>
          <w:rFonts w:ascii="Arial" w:hAnsi="Arial" w:cs="Arial"/>
          <w:sz w:val="20"/>
          <w:szCs w:val="20"/>
        </w:rPr>
      </w:pPr>
    </w:p>
    <w:p w:rsidR="00124B9D" w:rsidRPr="00195929" w:rsidRDefault="00124B9D" w:rsidP="00124B9D">
      <w:pPr>
        <w:pStyle w:val="Paragraphedeliste"/>
        <w:numPr>
          <w:ilvl w:val="0"/>
          <w:numId w:val="24"/>
        </w:numPr>
        <w:spacing w:after="0" w:line="240" w:lineRule="auto"/>
        <w:jc w:val="both"/>
        <w:rPr>
          <w:rFonts w:ascii="Arial" w:hAnsi="Arial" w:cs="Arial"/>
          <w:sz w:val="20"/>
          <w:szCs w:val="20"/>
          <w:u w:val="single"/>
        </w:rPr>
      </w:pPr>
      <w:r w:rsidRPr="00195929">
        <w:rPr>
          <w:rFonts w:ascii="Arial" w:hAnsi="Arial" w:cs="Arial"/>
          <w:sz w:val="20"/>
          <w:szCs w:val="20"/>
          <w:u w:val="single"/>
        </w:rPr>
        <w:t xml:space="preserve">Les interactions public-privé ne peuvent être bénéfiques que sous réserve d’une sélection </w:t>
      </w:r>
      <w:r w:rsidR="00195929" w:rsidRPr="00195929">
        <w:rPr>
          <w:rFonts w:ascii="Arial" w:hAnsi="Arial" w:cs="Arial"/>
          <w:sz w:val="20"/>
          <w:szCs w:val="20"/>
          <w:u w:val="single"/>
        </w:rPr>
        <w:t>rigoureuse des projets et d’une bonne articulation entre les interventions des différentes strates de collectivités</w:t>
      </w:r>
    </w:p>
    <w:p w:rsidR="00195929" w:rsidRDefault="00195929" w:rsidP="00195929">
      <w:pPr>
        <w:spacing w:after="0" w:line="240" w:lineRule="auto"/>
        <w:jc w:val="both"/>
        <w:rPr>
          <w:rFonts w:ascii="Arial" w:hAnsi="Arial" w:cs="Arial"/>
          <w:sz w:val="20"/>
          <w:szCs w:val="20"/>
        </w:rPr>
      </w:pPr>
    </w:p>
    <w:p w:rsidR="00195929" w:rsidRDefault="00195929" w:rsidP="00195929">
      <w:pPr>
        <w:pStyle w:val="Paragraphedeliste"/>
        <w:numPr>
          <w:ilvl w:val="0"/>
          <w:numId w:val="26"/>
        </w:numPr>
        <w:spacing w:after="0" w:line="240" w:lineRule="auto"/>
        <w:jc w:val="both"/>
        <w:rPr>
          <w:rFonts w:ascii="Arial" w:hAnsi="Arial" w:cs="Arial"/>
          <w:sz w:val="20"/>
          <w:szCs w:val="20"/>
          <w:u w:val="single"/>
        </w:rPr>
      </w:pPr>
      <w:r w:rsidRPr="00195929">
        <w:rPr>
          <w:rFonts w:ascii="Arial" w:hAnsi="Arial" w:cs="Arial"/>
          <w:sz w:val="20"/>
          <w:szCs w:val="20"/>
          <w:u w:val="single"/>
        </w:rPr>
        <w:t>Dans leurs interactions avec le privé, les collectivités doivent éviter deux écueils : le risque financier et l’inefficience des projets</w:t>
      </w:r>
    </w:p>
    <w:p w:rsidR="00C0628B" w:rsidRDefault="00C0628B" w:rsidP="00C0628B">
      <w:pPr>
        <w:spacing w:after="0" w:line="240" w:lineRule="auto"/>
        <w:jc w:val="both"/>
        <w:rPr>
          <w:rFonts w:ascii="Arial" w:hAnsi="Arial" w:cs="Arial"/>
          <w:sz w:val="20"/>
          <w:szCs w:val="20"/>
          <w:u w:val="single"/>
        </w:rPr>
      </w:pPr>
    </w:p>
    <w:p w:rsidR="00C0628B" w:rsidRDefault="00C0628B" w:rsidP="00E031D5">
      <w:pPr>
        <w:spacing w:after="0" w:line="240" w:lineRule="auto"/>
        <w:ind w:firstLine="709"/>
        <w:jc w:val="both"/>
        <w:rPr>
          <w:rFonts w:ascii="Arial" w:hAnsi="Arial" w:cs="Arial"/>
          <w:sz w:val="20"/>
          <w:szCs w:val="20"/>
        </w:rPr>
      </w:pPr>
      <w:r w:rsidRPr="00C0628B">
        <w:rPr>
          <w:rFonts w:ascii="Arial" w:hAnsi="Arial" w:cs="Arial"/>
          <w:sz w:val="20"/>
          <w:szCs w:val="20"/>
        </w:rPr>
        <w:t>Dans un contexte</w:t>
      </w:r>
      <w:r w:rsidR="00E031D5">
        <w:rPr>
          <w:rFonts w:ascii="Arial" w:hAnsi="Arial" w:cs="Arial"/>
          <w:sz w:val="20"/>
          <w:szCs w:val="20"/>
        </w:rPr>
        <w:t xml:space="preserve"> de réduction des dotations de l’Etat et de marges de manœuvre étroites au plan fiscal, les collectivités sont soumises </w:t>
      </w:r>
      <w:r w:rsidR="00023401">
        <w:rPr>
          <w:rFonts w:ascii="Arial" w:hAnsi="Arial" w:cs="Arial"/>
          <w:sz w:val="20"/>
          <w:szCs w:val="20"/>
        </w:rPr>
        <w:t xml:space="preserve">à une tension financière importante qui peut favoriser le recours à ces partenariats. En effet, les financements apportés à ces projets apparaissent limités. Toutefois, ils ne doivent pas masquer la réalité des risques auxquels s’exposent les collectivités. Pour exemple, la participation à une SEM ou une SCIC implique un apport en fonds propres qui peut être perdu si le projet n’est pas viable ainsi que le règlement des créanciers de la société. La Cour des comptes a été particulièrement </w:t>
      </w:r>
      <w:r w:rsidR="00930C85">
        <w:rPr>
          <w:rFonts w:ascii="Arial" w:hAnsi="Arial" w:cs="Arial"/>
          <w:sz w:val="20"/>
          <w:szCs w:val="20"/>
        </w:rPr>
        <w:t xml:space="preserve">critique s’agissant des contrats de partenariat  dans un rapport de 2015 : la capacité de financement de la collectivité est altérée </w:t>
      </w:r>
      <w:r w:rsidR="00826B33">
        <w:rPr>
          <w:rFonts w:ascii="Arial" w:hAnsi="Arial" w:cs="Arial"/>
          <w:sz w:val="20"/>
          <w:szCs w:val="20"/>
        </w:rPr>
        <w:t>lorsqu’elle s’engage à verser un loyer sur plusieurs dizaines d’années.</w:t>
      </w:r>
    </w:p>
    <w:p w:rsidR="00BF7067" w:rsidRDefault="00BF7067" w:rsidP="00E031D5">
      <w:pPr>
        <w:spacing w:after="0" w:line="240" w:lineRule="auto"/>
        <w:ind w:firstLine="709"/>
        <w:jc w:val="both"/>
        <w:rPr>
          <w:rFonts w:ascii="Arial" w:hAnsi="Arial" w:cs="Arial"/>
          <w:sz w:val="20"/>
          <w:szCs w:val="20"/>
        </w:rPr>
      </w:pPr>
      <w:r>
        <w:rPr>
          <w:rFonts w:ascii="Arial" w:hAnsi="Arial" w:cs="Arial"/>
          <w:sz w:val="20"/>
          <w:szCs w:val="20"/>
        </w:rPr>
        <w:t>Un autre risque lié à ces coopérations est le fait d’investir des projets inefficients. En effet, compte tenu d’une asymétrie d’informations lorsque la collectivité verse une aide à une entreprise ou négocie un PPP, elle peut faire des choix qui conduisent à une situation sous-optimale (phénomène d’antisélection).</w:t>
      </w:r>
    </w:p>
    <w:p w:rsidR="00BF7067" w:rsidRDefault="00BF7067" w:rsidP="00E031D5">
      <w:pPr>
        <w:spacing w:after="0" w:line="240" w:lineRule="auto"/>
        <w:ind w:firstLine="709"/>
        <w:jc w:val="both"/>
        <w:rPr>
          <w:rFonts w:ascii="Arial" w:hAnsi="Arial" w:cs="Arial"/>
          <w:sz w:val="20"/>
          <w:szCs w:val="20"/>
        </w:rPr>
      </w:pPr>
    </w:p>
    <w:p w:rsidR="00BF7067" w:rsidRDefault="00BF7067" w:rsidP="00BF7067">
      <w:pPr>
        <w:pStyle w:val="Paragraphedeliste"/>
        <w:numPr>
          <w:ilvl w:val="0"/>
          <w:numId w:val="26"/>
        </w:numPr>
        <w:spacing w:after="0" w:line="240" w:lineRule="auto"/>
        <w:jc w:val="both"/>
        <w:rPr>
          <w:rFonts w:ascii="Arial" w:hAnsi="Arial" w:cs="Arial"/>
          <w:sz w:val="20"/>
          <w:szCs w:val="20"/>
        </w:rPr>
      </w:pPr>
      <w:r w:rsidRPr="00BF7067">
        <w:rPr>
          <w:rFonts w:ascii="Arial" w:hAnsi="Arial" w:cs="Arial"/>
          <w:sz w:val="20"/>
          <w:szCs w:val="20"/>
          <w:u w:val="single"/>
        </w:rPr>
        <w:t>Ces coopérations peuvent être efficaces sous condition d’une sélection des projets et formes de partenariat ainsi que d’une correcte articulation des interventions des différentes collectivités compétentes sur un même territoire</w:t>
      </w:r>
      <w:r>
        <w:rPr>
          <w:rFonts w:ascii="Arial" w:hAnsi="Arial" w:cs="Arial"/>
          <w:sz w:val="20"/>
          <w:szCs w:val="20"/>
        </w:rPr>
        <w:t>.</w:t>
      </w:r>
    </w:p>
    <w:p w:rsidR="004C093F" w:rsidRDefault="004C093F" w:rsidP="004C093F">
      <w:pPr>
        <w:spacing w:after="0" w:line="240" w:lineRule="auto"/>
        <w:jc w:val="both"/>
        <w:rPr>
          <w:rFonts w:ascii="Arial" w:hAnsi="Arial" w:cs="Arial"/>
          <w:sz w:val="20"/>
          <w:szCs w:val="20"/>
        </w:rPr>
      </w:pPr>
    </w:p>
    <w:p w:rsidR="004C093F" w:rsidRDefault="004C093F" w:rsidP="004C093F">
      <w:pPr>
        <w:spacing w:after="0" w:line="240" w:lineRule="auto"/>
        <w:ind w:firstLine="708"/>
        <w:jc w:val="both"/>
        <w:rPr>
          <w:rFonts w:ascii="Arial" w:hAnsi="Arial" w:cs="Arial"/>
          <w:sz w:val="20"/>
          <w:szCs w:val="20"/>
        </w:rPr>
      </w:pPr>
      <w:r>
        <w:rPr>
          <w:rFonts w:ascii="Arial" w:hAnsi="Arial" w:cs="Arial"/>
          <w:sz w:val="20"/>
          <w:szCs w:val="20"/>
        </w:rPr>
        <w:t xml:space="preserve">A l’instar de l’obligation légale d’évaluation préalable des contrats de partenariats pour justifier de leur pertinence, les collectivités doivent </w:t>
      </w:r>
      <w:r w:rsidR="006B3389">
        <w:rPr>
          <w:rFonts w:ascii="Arial" w:hAnsi="Arial" w:cs="Arial"/>
          <w:sz w:val="20"/>
          <w:szCs w:val="20"/>
        </w:rPr>
        <w:t>être sélectives dans les partenariats qu’elles souhaiteraient investir. A ce titre, une évaluation socioéconomique du projet pour déterminer son efficience doit être recommandée. De la même manière, cette étude préalable devrait porter sur le choix de la formule de coopération la plus adaptée.</w:t>
      </w:r>
    </w:p>
    <w:p w:rsidR="006B3389" w:rsidRDefault="006B3389" w:rsidP="004C093F">
      <w:pPr>
        <w:spacing w:after="0" w:line="240" w:lineRule="auto"/>
        <w:ind w:firstLine="708"/>
        <w:jc w:val="both"/>
        <w:rPr>
          <w:rFonts w:ascii="Arial" w:hAnsi="Arial" w:cs="Arial"/>
          <w:sz w:val="20"/>
          <w:szCs w:val="20"/>
        </w:rPr>
      </w:pPr>
      <w:r>
        <w:rPr>
          <w:rFonts w:ascii="Arial" w:hAnsi="Arial" w:cs="Arial"/>
          <w:sz w:val="20"/>
          <w:szCs w:val="20"/>
        </w:rPr>
        <w:t>De ce point de vue, la réalisation des nouveaux schémas régionaux d’innovation et d’internationalisation (SDDREII) devrait permettre d’effectuer un premier tri des projets pertinents.</w:t>
      </w:r>
    </w:p>
    <w:p w:rsidR="006B3389" w:rsidRDefault="006B3389" w:rsidP="004C093F">
      <w:pPr>
        <w:spacing w:after="0" w:line="240" w:lineRule="auto"/>
        <w:ind w:firstLine="708"/>
        <w:jc w:val="both"/>
        <w:rPr>
          <w:rFonts w:ascii="Arial" w:hAnsi="Arial" w:cs="Arial"/>
          <w:sz w:val="20"/>
          <w:szCs w:val="20"/>
        </w:rPr>
      </w:pPr>
    </w:p>
    <w:p w:rsidR="006B3389" w:rsidRDefault="006B3389" w:rsidP="004C093F">
      <w:pPr>
        <w:spacing w:after="0" w:line="240" w:lineRule="auto"/>
        <w:ind w:firstLine="708"/>
        <w:jc w:val="both"/>
        <w:rPr>
          <w:rFonts w:ascii="Arial" w:hAnsi="Arial" w:cs="Arial"/>
          <w:sz w:val="20"/>
          <w:szCs w:val="20"/>
        </w:rPr>
      </w:pPr>
      <w:r>
        <w:rPr>
          <w:rFonts w:ascii="Arial" w:hAnsi="Arial" w:cs="Arial"/>
          <w:sz w:val="20"/>
          <w:szCs w:val="20"/>
        </w:rPr>
        <w:t>Par ailleurs, l’articulation entre les interventions des collectivités est essentielle pour limiter les doublons. La loi NOTRe de 2015 a d’ores et déjà effectué une clarification des compétences en positionnant la région comme l’acteur principal du développement économique sur les territoires. Elle intervient également dans la gouvernance de la Banque publique d’investissement et la gestion du Feder européen.</w:t>
      </w:r>
    </w:p>
    <w:p w:rsidR="006B3389" w:rsidRDefault="006B3389" w:rsidP="004C093F">
      <w:pPr>
        <w:spacing w:after="0" w:line="240" w:lineRule="auto"/>
        <w:ind w:firstLine="708"/>
        <w:jc w:val="both"/>
        <w:rPr>
          <w:rFonts w:ascii="Arial" w:hAnsi="Arial" w:cs="Arial"/>
          <w:sz w:val="20"/>
          <w:szCs w:val="20"/>
        </w:rPr>
      </w:pPr>
    </w:p>
    <w:p w:rsidR="006B3389" w:rsidRDefault="006B3389" w:rsidP="004C093F">
      <w:pPr>
        <w:spacing w:after="0" w:line="240" w:lineRule="auto"/>
        <w:ind w:firstLine="708"/>
        <w:jc w:val="both"/>
        <w:rPr>
          <w:rFonts w:ascii="Arial" w:hAnsi="Arial" w:cs="Arial"/>
          <w:sz w:val="20"/>
          <w:szCs w:val="20"/>
        </w:rPr>
      </w:pPr>
    </w:p>
    <w:p w:rsidR="003E0EF1" w:rsidRDefault="006B3389" w:rsidP="004C093F">
      <w:pPr>
        <w:spacing w:after="0" w:line="240" w:lineRule="auto"/>
        <w:ind w:firstLine="708"/>
        <w:jc w:val="both"/>
        <w:rPr>
          <w:rFonts w:ascii="Arial" w:hAnsi="Arial" w:cs="Arial"/>
          <w:sz w:val="20"/>
          <w:szCs w:val="20"/>
        </w:rPr>
      </w:pPr>
      <w:r>
        <w:rPr>
          <w:rFonts w:ascii="Arial" w:hAnsi="Arial" w:cs="Arial"/>
          <w:sz w:val="20"/>
          <w:szCs w:val="20"/>
        </w:rPr>
        <w:t xml:space="preserve">Les formes d’interaction entre le public et le privé se sont enrichies pour améliorer la pertinence de ces </w:t>
      </w:r>
      <w:r w:rsidR="003E0EF1">
        <w:rPr>
          <w:rFonts w:ascii="Arial" w:hAnsi="Arial" w:cs="Arial"/>
          <w:sz w:val="20"/>
          <w:szCs w:val="20"/>
        </w:rPr>
        <w:t>interventions conjointes sur les territoires en faveur des services publics locaux et du développement économique.</w:t>
      </w:r>
    </w:p>
    <w:p w:rsidR="006B3389" w:rsidRPr="004C093F" w:rsidRDefault="003E0EF1" w:rsidP="004C093F">
      <w:pPr>
        <w:spacing w:after="0" w:line="240" w:lineRule="auto"/>
        <w:ind w:firstLine="708"/>
        <w:jc w:val="both"/>
        <w:rPr>
          <w:rFonts w:ascii="Arial" w:hAnsi="Arial" w:cs="Arial"/>
          <w:sz w:val="20"/>
          <w:szCs w:val="20"/>
        </w:rPr>
      </w:pPr>
      <w:r>
        <w:rPr>
          <w:rFonts w:ascii="Arial" w:hAnsi="Arial" w:cs="Arial"/>
          <w:sz w:val="20"/>
          <w:szCs w:val="20"/>
        </w:rPr>
        <w:lastRenderedPageBreak/>
        <w:t xml:space="preserve">Cette boîte à outils doit maintenant être mobilisée pleinement mais de façon prudente et raisonnée pour garantir l’efficacité de ces actions conjointes. Le recours à des formules moins risquées doit être privilégié à l’instar </w:t>
      </w:r>
      <w:r w:rsidR="00C82FA5">
        <w:rPr>
          <w:rFonts w:ascii="Arial" w:hAnsi="Arial" w:cs="Arial"/>
          <w:sz w:val="20"/>
          <w:szCs w:val="20"/>
        </w:rPr>
        <w:t>des derniers contrats</w:t>
      </w:r>
      <w:r>
        <w:rPr>
          <w:rFonts w:ascii="Arial" w:hAnsi="Arial" w:cs="Arial"/>
          <w:sz w:val="20"/>
          <w:szCs w:val="20"/>
        </w:rPr>
        <w:t xml:space="preserve"> à impact social qui sont actuellement en cours d’expérimentation.</w:t>
      </w:r>
      <w:r w:rsidR="006B3389">
        <w:rPr>
          <w:rFonts w:ascii="Arial" w:hAnsi="Arial" w:cs="Arial"/>
          <w:sz w:val="20"/>
          <w:szCs w:val="20"/>
        </w:rPr>
        <w:t xml:space="preserve"> </w:t>
      </w:r>
    </w:p>
    <w:sectPr w:rsidR="006B3389" w:rsidRPr="004C093F">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17F6" w:rsidRDefault="007A17F6" w:rsidP="009D4224">
      <w:pPr>
        <w:spacing w:after="0" w:line="240" w:lineRule="auto"/>
      </w:pPr>
      <w:r>
        <w:separator/>
      </w:r>
    </w:p>
  </w:endnote>
  <w:endnote w:type="continuationSeparator" w:id="0">
    <w:p w:rsidR="007A17F6" w:rsidRDefault="007A17F6" w:rsidP="009D42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17F6" w:rsidRDefault="007A17F6" w:rsidP="009D4224">
      <w:pPr>
        <w:spacing w:after="0" w:line="240" w:lineRule="auto"/>
      </w:pPr>
      <w:r>
        <w:separator/>
      </w:r>
    </w:p>
  </w:footnote>
  <w:footnote w:type="continuationSeparator" w:id="0">
    <w:p w:rsidR="007A17F6" w:rsidRDefault="007A17F6" w:rsidP="009D42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082" w:rsidRPr="00985A0F" w:rsidRDefault="00AC0082">
    <w:pPr>
      <w:pStyle w:val="En-tte"/>
      <w:rPr>
        <w:i/>
        <w:sz w:val="18"/>
        <w:szCs w:val="18"/>
      </w:rPr>
    </w:pPr>
    <w:r w:rsidRPr="00985A0F">
      <w:rPr>
        <w:i/>
        <w:sz w:val="18"/>
        <w:szCs w:val="18"/>
      </w:rPr>
      <w:ptab w:relativeTo="margin" w:alignment="center" w:leader="none"/>
    </w:r>
    <w:r w:rsidRPr="00985A0F">
      <w:rPr>
        <w:i/>
        <w:sz w:val="18"/>
        <w:szCs w:val="18"/>
      </w:rPr>
      <w:ptab w:relativeTo="margin" w:alignment="right" w:leader="none"/>
    </w:r>
    <w:r w:rsidR="006C771F">
      <w:rPr>
        <w:i/>
        <w:sz w:val="18"/>
        <w:szCs w:val="18"/>
      </w:rPr>
      <w:t>CADM</w:t>
    </w:r>
    <w:r w:rsidR="00DC3546">
      <w:rPr>
        <w:i/>
        <w:sz w:val="18"/>
        <w:szCs w:val="18"/>
      </w:rPr>
      <w:t>TC</w:t>
    </w:r>
    <w:r w:rsidR="003E667A">
      <w:rPr>
        <w:i/>
        <w:sz w:val="18"/>
        <w:szCs w:val="18"/>
      </w:rPr>
      <w:t xml:space="preserve"> </w:t>
    </w:r>
    <w:r w:rsidR="00351784">
      <w:rPr>
        <w:i/>
        <w:sz w:val="18"/>
        <w:szCs w:val="18"/>
      </w:rPr>
      <w:t>201</w:t>
    </w:r>
    <w:r w:rsidR="0007440C">
      <w:rPr>
        <w:i/>
        <w:sz w:val="18"/>
        <w:szCs w:val="18"/>
      </w:rPr>
      <w:t>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F0CCC"/>
    <w:multiLevelType w:val="hybridMultilevel"/>
    <w:tmpl w:val="C8F4F5AC"/>
    <w:lvl w:ilvl="0" w:tplc="501E299C">
      <w:start w:val="1"/>
      <w:numFmt w:val="bullet"/>
      <w:lvlText w:val="-"/>
      <w:lvlJc w:val="left"/>
      <w:pPr>
        <w:ind w:left="1068" w:hanging="360"/>
      </w:pPr>
      <w:rPr>
        <w:rFonts w:ascii="Arial" w:eastAsiaTheme="minorHAnsi" w:hAnsi="Aria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
    <w:nsid w:val="0AEC25E0"/>
    <w:multiLevelType w:val="hybridMultilevel"/>
    <w:tmpl w:val="CE6A6DC6"/>
    <w:lvl w:ilvl="0" w:tplc="040C0015">
      <w:start w:val="1"/>
      <w:numFmt w:val="upp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
    <w:nsid w:val="0CAE0FC5"/>
    <w:multiLevelType w:val="hybridMultilevel"/>
    <w:tmpl w:val="531A71C0"/>
    <w:lvl w:ilvl="0" w:tplc="4DB8F5B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FF26811"/>
    <w:multiLevelType w:val="hybridMultilevel"/>
    <w:tmpl w:val="ED8A465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2184858"/>
    <w:multiLevelType w:val="hybridMultilevel"/>
    <w:tmpl w:val="2C18DD8C"/>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14C74D05"/>
    <w:multiLevelType w:val="hybridMultilevel"/>
    <w:tmpl w:val="FB0EEDDA"/>
    <w:lvl w:ilvl="0" w:tplc="502C01A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3731D6E"/>
    <w:multiLevelType w:val="hybridMultilevel"/>
    <w:tmpl w:val="EC0E96BA"/>
    <w:lvl w:ilvl="0" w:tplc="040C000F">
      <w:start w:val="1"/>
      <w:numFmt w:val="decimal"/>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25CC4E00"/>
    <w:multiLevelType w:val="hybridMultilevel"/>
    <w:tmpl w:val="62DAA9FE"/>
    <w:lvl w:ilvl="0" w:tplc="9A18F77E">
      <w:start w:val="1"/>
      <w:numFmt w:val="upperRoman"/>
      <w:lvlText w:val="%1."/>
      <w:lvlJc w:val="left"/>
      <w:pPr>
        <w:ind w:left="1428" w:hanging="72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8">
    <w:nsid w:val="261D5482"/>
    <w:multiLevelType w:val="hybridMultilevel"/>
    <w:tmpl w:val="A802D516"/>
    <w:lvl w:ilvl="0" w:tplc="4FA2646A">
      <w:start w:val="1"/>
      <w:numFmt w:val="upperLetter"/>
      <w:lvlText w:val="%1."/>
      <w:lvlJc w:val="left"/>
      <w:pPr>
        <w:ind w:left="1776" w:hanging="360"/>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9">
    <w:nsid w:val="27D5502E"/>
    <w:multiLevelType w:val="hybridMultilevel"/>
    <w:tmpl w:val="FFDC37AE"/>
    <w:lvl w:ilvl="0" w:tplc="0E74C408">
      <w:start w:val="1"/>
      <w:numFmt w:val="upp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0">
    <w:nsid w:val="3CEA1D03"/>
    <w:multiLevelType w:val="hybridMultilevel"/>
    <w:tmpl w:val="744E6AFC"/>
    <w:lvl w:ilvl="0" w:tplc="C71E691A">
      <w:start w:val="1"/>
      <w:numFmt w:val="upperLetter"/>
      <w:lvlText w:val="%1."/>
      <w:lvlJc w:val="left"/>
      <w:pPr>
        <w:ind w:left="1791" w:hanging="375"/>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11">
    <w:nsid w:val="3E98093A"/>
    <w:multiLevelType w:val="hybridMultilevel"/>
    <w:tmpl w:val="246812C6"/>
    <w:lvl w:ilvl="0" w:tplc="AF4C7788">
      <w:start w:val="1"/>
      <w:numFmt w:val="upperLetter"/>
      <w:lvlText w:val="%1."/>
      <w:lvlJc w:val="left"/>
      <w:pPr>
        <w:ind w:left="1788" w:hanging="360"/>
      </w:pPr>
      <w:rPr>
        <w:rFonts w:hint="default"/>
      </w:rPr>
    </w:lvl>
    <w:lvl w:ilvl="1" w:tplc="040C0019" w:tentative="1">
      <w:start w:val="1"/>
      <w:numFmt w:val="lowerLetter"/>
      <w:lvlText w:val="%2."/>
      <w:lvlJc w:val="left"/>
      <w:pPr>
        <w:ind w:left="2508" w:hanging="360"/>
      </w:pPr>
    </w:lvl>
    <w:lvl w:ilvl="2" w:tplc="040C001B" w:tentative="1">
      <w:start w:val="1"/>
      <w:numFmt w:val="lowerRoman"/>
      <w:lvlText w:val="%3."/>
      <w:lvlJc w:val="right"/>
      <w:pPr>
        <w:ind w:left="3228" w:hanging="180"/>
      </w:pPr>
    </w:lvl>
    <w:lvl w:ilvl="3" w:tplc="040C000F" w:tentative="1">
      <w:start w:val="1"/>
      <w:numFmt w:val="decimal"/>
      <w:lvlText w:val="%4."/>
      <w:lvlJc w:val="left"/>
      <w:pPr>
        <w:ind w:left="3948" w:hanging="360"/>
      </w:pPr>
    </w:lvl>
    <w:lvl w:ilvl="4" w:tplc="040C0019" w:tentative="1">
      <w:start w:val="1"/>
      <w:numFmt w:val="lowerLetter"/>
      <w:lvlText w:val="%5."/>
      <w:lvlJc w:val="left"/>
      <w:pPr>
        <w:ind w:left="4668" w:hanging="360"/>
      </w:pPr>
    </w:lvl>
    <w:lvl w:ilvl="5" w:tplc="040C001B" w:tentative="1">
      <w:start w:val="1"/>
      <w:numFmt w:val="lowerRoman"/>
      <w:lvlText w:val="%6."/>
      <w:lvlJc w:val="right"/>
      <w:pPr>
        <w:ind w:left="5388" w:hanging="180"/>
      </w:pPr>
    </w:lvl>
    <w:lvl w:ilvl="6" w:tplc="040C000F" w:tentative="1">
      <w:start w:val="1"/>
      <w:numFmt w:val="decimal"/>
      <w:lvlText w:val="%7."/>
      <w:lvlJc w:val="left"/>
      <w:pPr>
        <w:ind w:left="6108" w:hanging="360"/>
      </w:pPr>
    </w:lvl>
    <w:lvl w:ilvl="7" w:tplc="040C0019" w:tentative="1">
      <w:start w:val="1"/>
      <w:numFmt w:val="lowerLetter"/>
      <w:lvlText w:val="%8."/>
      <w:lvlJc w:val="left"/>
      <w:pPr>
        <w:ind w:left="6828" w:hanging="360"/>
      </w:pPr>
    </w:lvl>
    <w:lvl w:ilvl="8" w:tplc="040C001B" w:tentative="1">
      <w:start w:val="1"/>
      <w:numFmt w:val="lowerRoman"/>
      <w:lvlText w:val="%9."/>
      <w:lvlJc w:val="right"/>
      <w:pPr>
        <w:ind w:left="7548" w:hanging="180"/>
      </w:pPr>
    </w:lvl>
  </w:abstractNum>
  <w:abstractNum w:abstractNumId="12">
    <w:nsid w:val="400D699E"/>
    <w:multiLevelType w:val="hybridMultilevel"/>
    <w:tmpl w:val="82A0A06C"/>
    <w:lvl w:ilvl="0" w:tplc="DFEE649E">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492A1D1C"/>
    <w:multiLevelType w:val="hybridMultilevel"/>
    <w:tmpl w:val="7890BC26"/>
    <w:lvl w:ilvl="0" w:tplc="040C0015">
      <w:start w:val="1"/>
      <w:numFmt w:val="upperLetter"/>
      <w:lvlText w:val="%1."/>
      <w:lvlJc w:val="left"/>
      <w:pPr>
        <w:ind w:left="1776" w:hanging="360"/>
      </w:pPr>
      <w:rPr>
        <w:rFonts w:hint="default"/>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14">
    <w:nsid w:val="4DD51E7E"/>
    <w:multiLevelType w:val="hybridMultilevel"/>
    <w:tmpl w:val="5A62F3F4"/>
    <w:lvl w:ilvl="0" w:tplc="E834C9CE">
      <w:start w:val="1"/>
      <w:numFmt w:val="upp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5">
    <w:nsid w:val="50395D8E"/>
    <w:multiLevelType w:val="hybridMultilevel"/>
    <w:tmpl w:val="0EEA710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52E55BF9"/>
    <w:multiLevelType w:val="hybridMultilevel"/>
    <w:tmpl w:val="8E9222EC"/>
    <w:lvl w:ilvl="0" w:tplc="6EA2DB5A">
      <w:start w:val="1"/>
      <w:numFmt w:val="decimal"/>
      <w:lvlText w:val="%1."/>
      <w:lvlJc w:val="left"/>
      <w:pPr>
        <w:ind w:left="1065" w:hanging="360"/>
      </w:pPr>
      <w:rPr>
        <w:rFonts w:hint="default"/>
      </w:rPr>
    </w:lvl>
    <w:lvl w:ilvl="1" w:tplc="040C0019" w:tentative="1">
      <w:start w:val="1"/>
      <w:numFmt w:val="lowerLetter"/>
      <w:lvlText w:val="%2."/>
      <w:lvlJc w:val="left"/>
      <w:pPr>
        <w:ind w:left="1785" w:hanging="360"/>
      </w:pPr>
    </w:lvl>
    <w:lvl w:ilvl="2" w:tplc="040C001B" w:tentative="1">
      <w:start w:val="1"/>
      <w:numFmt w:val="lowerRoman"/>
      <w:lvlText w:val="%3."/>
      <w:lvlJc w:val="right"/>
      <w:pPr>
        <w:ind w:left="2505" w:hanging="180"/>
      </w:pPr>
    </w:lvl>
    <w:lvl w:ilvl="3" w:tplc="040C000F" w:tentative="1">
      <w:start w:val="1"/>
      <w:numFmt w:val="decimal"/>
      <w:lvlText w:val="%4."/>
      <w:lvlJc w:val="left"/>
      <w:pPr>
        <w:ind w:left="3225" w:hanging="360"/>
      </w:pPr>
    </w:lvl>
    <w:lvl w:ilvl="4" w:tplc="040C0019" w:tentative="1">
      <w:start w:val="1"/>
      <w:numFmt w:val="lowerLetter"/>
      <w:lvlText w:val="%5."/>
      <w:lvlJc w:val="left"/>
      <w:pPr>
        <w:ind w:left="3945" w:hanging="360"/>
      </w:pPr>
    </w:lvl>
    <w:lvl w:ilvl="5" w:tplc="040C001B" w:tentative="1">
      <w:start w:val="1"/>
      <w:numFmt w:val="lowerRoman"/>
      <w:lvlText w:val="%6."/>
      <w:lvlJc w:val="right"/>
      <w:pPr>
        <w:ind w:left="4665" w:hanging="180"/>
      </w:pPr>
    </w:lvl>
    <w:lvl w:ilvl="6" w:tplc="040C000F" w:tentative="1">
      <w:start w:val="1"/>
      <w:numFmt w:val="decimal"/>
      <w:lvlText w:val="%7."/>
      <w:lvlJc w:val="left"/>
      <w:pPr>
        <w:ind w:left="5385" w:hanging="360"/>
      </w:pPr>
    </w:lvl>
    <w:lvl w:ilvl="7" w:tplc="040C0019" w:tentative="1">
      <w:start w:val="1"/>
      <w:numFmt w:val="lowerLetter"/>
      <w:lvlText w:val="%8."/>
      <w:lvlJc w:val="left"/>
      <w:pPr>
        <w:ind w:left="6105" w:hanging="360"/>
      </w:pPr>
    </w:lvl>
    <w:lvl w:ilvl="8" w:tplc="040C001B" w:tentative="1">
      <w:start w:val="1"/>
      <w:numFmt w:val="lowerRoman"/>
      <w:lvlText w:val="%9."/>
      <w:lvlJc w:val="right"/>
      <w:pPr>
        <w:ind w:left="6825" w:hanging="180"/>
      </w:pPr>
    </w:lvl>
  </w:abstractNum>
  <w:abstractNum w:abstractNumId="17">
    <w:nsid w:val="65361794"/>
    <w:multiLevelType w:val="hybridMultilevel"/>
    <w:tmpl w:val="E5FC8E3C"/>
    <w:lvl w:ilvl="0" w:tplc="BEF0A57A">
      <w:start w:val="1"/>
      <w:numFmt w:val="upperRoman"/>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8">
    <w:nsid w:val="6BE02CB3"/>
    <w:multiLevelType w:val="hybridMultilevel"/>
    <w:tmpl w:val="E95C1D6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6D3F6312"/>
    <w:multiLevelType w:val="hybridMultilevel"/>
    <w:tmpl w:val="F9C0F2E4"/>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6E45157D"/>
    <w:multiLevelType w:val="hybridMultilevel"/>
    <w:tmpl w:val="1210578A"/>
    <w:lvl w:ilvl="0" w:tplc="264EFF1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6E673555"/>
    <w:multiLevelType w:val="hybridMultilevel"/>
    <w:tmpl w:val="13E6C9B4"/>
    <w:lvl w:ilvl="0" w:tplc="8C4231A0">
      <w:start w:val="1"/>
      <w:numFmt w:val="upp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2">
    <w:nsid w:val="78B7465D"/>
    <w:multiLevelType w:val="hybridMultilevel"/>
    <w:tmpl w:val="EDFEA938"/>
    <w:lvl w:ilvl="0" w:tplc="C19E3FD2">
      <w:start w:val="1"/>
      <w:numFmt w:val="upperLetter"/>
      <w:lvlText w:val="%1."/>
      <w:lvlJc w:val="left"/>
      <w:pPr>
        <w:ind w:left="1065" w:hanging="360"/>
      </w:pPr>
      <w:rPr>
        <w:rFonts w:hint="default"/>
        <w:u w:val="none"/>
      </w:rPr>
    </w:lvl>
    <w:lvl w:ilvl="1" w:tplc="040C0019" w:tentative="1">
      <w:start w:val="1"/>
      <w:numFmt w:val="lowerLetter"/>
      <w:lvlText w:val="%2."/>
      <w:lvlJc w:val="left"/>
      <w:pPr>
        <w:ind w:left="1785" w:hanging="360"/>
      </w:pPr>
    </w:lvl>
    <w:lvl w:ilvl="2" w:tplc="040C001B" w:tentative="1">
      <w:start w:val="1"/>
      <w:numFmt w:val="lowerRoman"/>
      <w:lvlText w:val="%3."/>
      <w:lvlJc w:val="right"/>
      <w:pPr>
        <w:ind w:left="2505" w:hanging="180"/>
      </w:pPr>
    </w:lvl>
    <w:lvl w:ilvl="3" w:tplc="040C000F" w:tentative="1">
      <w:start w:val="1"/>
      <w:numFmt w:val="decimal"/>
      <w:lvlText w:val="%4."/>
      <w:lvlJc w:val="left"/>
      <w:pPr>
        <w:ind w:left="3225" w:hanging="360"/>
      </w:pPr>
    </w:lvl>
    <w:lvl w:ilvl="4" w:tplc="040C0019" w:tentative="1">
      <w:start w:val="1"/>
      <w:numFmt w:val="lowerLetter"/>
      <w:lvlText w:val="%5."/>
      <w:lvlJc w:val="left"/>
      <w:pPr>
        <w:ind w:left="3945" w:hanging="360"/>
      </w:pPr>
    </w:lvl>
    <w:lvl w:ilvl="5" w:tplc="040C001B" w:tentative="1">
      <w:start w:val="1"/>
      <w:numFmt w:val="lowerRoman"/>
      <w:lvlText w:val="%6."/>
      <w:lvlJc w:val="right"/>
      <w:pPr>
        <w:ind w:left="4665" w:hanging="180"/>
      </w:pPr>
    </w:lvl>
    <w:lvl w:ilvl="6" w:tplc="040C000F" w:tentative="1">
      <w:start w:val="1"/>
      <w:numFmt w:val="decimal"/>
      <w:lvlText w:val="%7."/>
      <w:lvlJc w:val="left"/>
      <w:pPr>
        <w:ind w:left="5385" w:hanging="360"/>
      </w:pPr>
    </w:lvl>
    <w:lvl w:ilvl="7" w:tplc="040C0019" w:tentative="1">
      <w:start w:val="1"/>
      <w:numFmt w:val="lowerLetter"/>
      <w:lvlText w:val="%8."/>
      <w:lvlJc w:val="left"/>
      <w:pPr>
        <w:ind w:left="6105" w:hanging="360"/>
      </w:pPr>
    </w:lvl>
    <w:lvl w:ilvl="8" w:tplc="040C001B" w:tentative="1">
      <w:start w:val="1"/>
      <w:numFmt w:val="lowerRoman"/>
      <w:lvlText w:val="%9."/>
      <w:lvlJc w:val="right"/>
      <w:pPr>
        <w:ind w:left="6825" w:hanging="180"/>
      </w:pPr>
    </w:lvl>
  </w:abstractNum>
  <w:abstractNum w:abstractNumId="23">
    <w:nsid w:val="78E957AC"/>
    <w:multiLevelType w:val="hybridMultilevel"/>
    <w:tmpl w:val="1C461AD4"/>
    <w:lvl w:ilvl="0" w:tplc="C15A3718">
      <w:start w:val="1"/>
      <w:numFmt w:val="upperRoman"/>
      <w:lvlText w:val="%1."/>
      <w:lvlJc w:val="left"/>
      <w:pPr>
        <w:ind w:left="1425" w:hanging="720"/>
      </w:pPr>
      <w:rPr>
        <w:rFonts w:hint="default"/>
      </w:rPr>
    </w:lvl>
    <w:lvl w:ilvl="1" w:tplc="040C0019" w:tentative="1">
      <w:start w:val="1"/>
      <w:numFmt w:val="lowerLetter"/>
      <w:lvlText w:val="%2."/>
      <w:lvlJc w:val="left"/>
      <w:pPr>
        <w:ind w:left="1785" w:hanging="360"/>
      </w:pPr>
    </w:lvl>
    <w:lvl w:ilvl="2" w:tplc="040C001B" w:tentative="1">
      <w:start w:val="1"/>
      <w:numFmt w:val="lowerRoman"/>
      <w:lvlText w:val="%3."/>
      <w:lvlJc w:val="right"/>
      <w:pPr>
        <w:ind w:left="2505" w:hanging="180"/>
      </w:pPr>
    </w:lvl>
    <w:lvl w:ilvl="3" w:tplc="040C000F" w:tentative="1">
      <w:start w:val="1"/>
      <w:numFmt w:val="decimal"/>
      <w:lvlText w:val="%4."/>
      <w:lvlJc w:val="left"/>
      <w:pPr>
        <w:ind w:left="3225" w:hanging="360"/>
      </w:pPr>
    </w:lvl>
    <w:lvl w:ilvl="4" w:tplc="040C0019" w:tentative="1">
      <w:start w:val="1"/>
      <w:numFmt w:val="lowerLetter"/>
      <w:lvlText w:val="%5."/>
      <w:lvlJc w:val="left"/>
      <w:pPr>
        <w:ind w:left="3945" w:hanging="360"/>
      </w:pPr>
    </w:lvl>
    <w:lvl w:ilvl="5" w:tplc="040C001B" w:tentative="1">
      <w:start w:val="1"/>
      <w:numFmt w:val="lowerRoman"/>
      <w:lvlText w:val="%6."/>
      <w:lvlJc w:val="right"/>
      <w:pPr>
        <w:ind w:left="4665" w:hanging="180"/>
      </w:pPr>
    </w:lvl>
    <w:lvl w:ilvl="6" w:tplc="040C000F" w:tentative="1">
      <w:start w:val="1"/>
      <w:numFmt w:val="decimal"/>
      <w:lvlText w:val="%7."/>
      <w:lvlJc w:val="left"/>
      <w:pPr>
        <w:ind w:left="5385" w:hanging="360"/>
      </w:pPr>
    </w:lvl>
    <w:lvl w:ilvl="7" w:tplc="040C0019" w:tentative="1">
      <w:start w:val="1"/>
      <w:numFmt w:val="lowerLetter"/>
      <w:lvlText w:val="%8."/>
      <w:lvlJc w:val="left"/>
      <w:pPr>
        <w:ind w:left="6105" w:hanging="360"/>
      </w:pPr>
    </w:lvl>
    <w:lvl w:ilvl="8" w:tplc="040C001B" w:tentative="1">
      <w:start w:val="1"/>
      <w:numFmt w:val="lowerRoman"/>
      <w:lvlText w:val="%9."/>
      <w:lvlJc w:val="right"/>
      <w:pPr>
        <w:ind w:left="6825" w:hanging="180"/>
      </w:pPr>
    </w:lvl>
  </w:abstractNum>
  <w:abstractNum w:abstractNumId="24">
    <w:nsid w:val="7D3127A1"/>
    <w:multiLevelType w:val="hybridMultilevel"/>
    <w:tmpl w:val="CF30DD68"/>
    <w:lvl w:ilvl="0" w:tplc="76261180">
      <w:start w:val="1"/>
      <w:numFmt w:val="upperLetter"/>
      <w:lvlText w:val="%1."/>
      <w:lvlJc w:val="left"/>
      <w:pPr>
        <w:ind w:left="1065" w:hanging="360"/>
      </w:pPr>
      <w:rPr>
        <w:rFonts w:hint="default"/>
      </w:rPr>
    </w:lvl>
    <w:lvl w:ilvl="1" w:tplc="040C0019" w:tentative="1">
      <w:start w:val="1"/>
      <w:numFmt w:val="lowerLetter"/>
      <w:lvlText w:val="%2."/>
      <w:lvlJc w:val="left"/>
      <w:pPr>
        <w:ind w:left="1785" w:hanging="360"/>
      </w:pPr>
    </w:lvl>
    <w:lvl w:ilvl="2" w:tplc="040C001B" w:tentative="1">
      <w:start w:val="1"/>
      <w:numFmt w:val="lowerRoman"/>
      <w:lvlText w:val="%3."/>
      <w:lvlJc w:val="right"/>
      <w:pPr>
        <w:ind w:left="2505" w:hanging="180"/>
      </w:pPr>
    </w:lvl>
    <w:lvl w:ilvl="3" w:tplc="040C000F" w:tentative="1">
      <w:start w:val="1"/>
      <w:numFmt w:val="decimal"/>
      <w:lvlText w:val="%4."/>
      <w:lvlJc w:val="left"/>
      <w:pPr>
        <w:ind w:left="3225" w:hanging="360"/>
      </w:pPr>
    </w:lvl>
    <w:lvl w:ilvl="4" w:tplc="040C0019" w:tentative="1">
      <w:start w:val="1"/>
      <w:numFmt w:val="lowerLetter"/>
      <w:lvlText w:val="%5."/>
      <w:lvlJc w:val="left"/>
      <w:pPr>
        <w:ind w:left="3945" w:hanging="360"/>
      </w:pPr>
    </w:lvl>
    <w:lvl w:ilvl="5" w:tplc="040C001B" w:tentative="1">
      <w:start w:val="1"/>
      <w:numFmt w:val="lowerRoman"/>
      <w:lvlText w:val="%6."/>
      <w:lvlJc w:val="right"/>
      <w:pPr>
        <w:ind w:left="4665" w:hanging="180"/>
      </w:pPr>
    </w:lvl>
    <w:lvl w:ilvl="6" w:tplc="040C000F" w:tentative="1">
      <w:start w:val="1"/>
      <w:numFmt w:val="decimal"/>
      <w:lvlText w:val="%7."/>
      <w:lvlJc w:val="left"/>
      <w:pPr>
        <w:ind w:left="5385" w:hanging="360"/>
      </w:pPr>
    </w:lvl>
    <w:lvl w:ilvl="7" w:tplc="040C0019" w:tentative="1">
      <w:start w:val="1"/>
      <w:numFmt w:val="lowerLetter"/>
      <w:lvlText w:val="%8."/>
      <w:lvlJc w:val="left"/>
      <w:pPr>
        <w:ind w:left="6105" w:hanging="360"/>
      </w:pPr>
    </w:lvl>
    <w:lvl w:ilvl="8" w:tplc="040C001B" w:tentative="1">
      <w:start w:val="1"/>
      <w:numFmt w:val="lowerRoman"/>
      <w:lvlText w:val="%9."/>
      <w:lvlJc w:val="right"/>
      <w:pPr>
        <w:ind w:left="6825" w:hanging="180"/>
      </w:pPr>
    </w:lvl>
  </w:abstractNum>
  <w:abstractNum w:abstractNumId="25">
    <w:nsid w:val="7DFE600D"/>
    <w:multiLevelType w:val="hybridMultilevel"/>
    <w:tmpl w:val="85BCEDE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3"/>
  </w:num>
  <w:num w:numId="2">
    <w:abstractNumId w:val="13"/>
  </w:num>
  <w:num w:numId="3">
    <w:abstractNumId w:val="10"/>
  </w:num>
  <w:num w:numId="4">
    <w:abstractNumId w:val="20"/>
  </w:num>
  <w:num w:numId="5">
    <w:abstractNumId w:val="9"/>
  </w:num>
  <w:num w:numId="6">
    <w:abstractNumId w:val="1"/>
  </w:num>
  <w:num w:numId="7">
    <w:abstractNumId w:val="2"/>
  </w:num>
  <w:num w:numId="8">
    <w:abstractNumId w:val="21"/>
  </w:num>
  <w:num w:numId="9">
    <w:abstractNumId w:val="14"/>
  </w:num>
  <w:num w:numId="10">
    <w:abstractNumId w:val="5"/>
  </w:num>
  <w:num w:numId="11">
    <w:abstractNumId w:val="17"/>
  </w:num>
  <w:num w:numId="12">
    <w:abstractNumId w:val="12"/>
  </w:num>
  <w:num w:numId="13">
    <w:abstractNumId w:val="0"/>
  </w:num>
  <w:num w:numId="14">
    <w:abstractNumId w:val="19"/>
  </w:num>
  <w:num w:numId="15">
    <w:abstractNumId w:val="3"/>
  </w:num>
  <w:num w:numId="16">
    <w:abstractNumId w:val="15"/>
  </w:num>
  <w:num w:numId="17">
    <w:abstractNumId w:val="4"/>
  </w:num>
  <w:num w:numId="18">
    <w:abstractNumId w:val="22"/>
  </w:num>
  <w:num w:numId="19">
    <w:abstractNumId w:val="6"/>
  </w:num>
  <w:num w:numId="20">
    <w:abstractNumId w:val="16"/>
  </w:num>
  <w:num w:numId="21">
    <w:abstractNumId w:val="24"/>
  </w:num>
  <w:num w:numId="22">
    <w:abstractNumId w:val="25"/>
  </w:num>
  <w:num w:numId="23">
    <w:abstractNumId w:val="18"/>
  </w:num>
  <w:num w:numId="24">
    <w:abstractNumId w:val="7"/>
  </w:num>
  <w:num w:numId="25">
    <w:abstractNumId w:val="8"/>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5E2C"/>
    <w:rsid w:val="000039C7"/>
    <w:rsid w:val="00006BBB"/>
    <w:rsid w:val="00007190"/>
    <w:rsid w:val="00010DC0"/>
    <w:rsid w:val="00012575"/>
    <w:rsid w:val="00023401"/>
    <w:rsid w:val="0002585C"/>
    <w:rsid w:val="00031CE6"/>
    <w:rsid w:val="00032985"/>
    <w:rsid w:val="00034D43"/>
    <w:rsid w:val="00034DC1"/>
    <w:rsid w:val="000401FE"/>
    <w:rsid w:val="000458B2"/>
    <w:rsid w:val="000502E3"/>
    <w:rsid w:val="00060AE6"/>
    <w:rsid w:val="000657E6"/>
    <w:rsid w:val="00067472"/>
    <w:rsid w:val="0006756F"/>
    <w:rsid w:val="00067AE0"/>
    <w:rsid w:val="00071415"/>
    <w:rsid w:val="0007440C"/>
    <w:rsid w:val="00075581"/>
    <w:rsid w:val="00075E2C"/>
    <w:rsid w:val="000821FF"/>
    <w:rsid w:val="00091B30"/>
    <w:rsid w:val="000920BD"/>
    <w:rsid w:val="000950E5"/>
    <w:rsid w:val="00095275"/>
    <w:rsid w:val="000A28A2"/>
    <w:rsid w:val="000A3A57"/>
    <w:rsid w:val="000A5F11"/>
    <w:rsid w:val="000A69BB"/>
    <w:rsid w:val="000A728E"/>
    <w:rsid w:val="000A7C2C"/>
    <w:rsid w:val="000B5310"/>
    <w:rsid w:val="000C1ABC"/>
    <w:rsid w:val="000C4D66"/>
    <w:rsid w:val="000D3DF1"/>
    <w:rsid w:val="000D6582"/>
    <w:rsid w:val="000E434E"/>
    <w:rsid w:val="000E566E"/>
    <w:rsid w:val="000E569F"/>
    <w:rsid w:val="000E760B"/>
    <w:rsid w:val="000E7B2D"/>
    <w:rsid w:val="000F6EDE"/>
    <w:rsid w:val="00104BEE"/>
    <w:rsid w:val="00113834"/>
    <w:rsid w:val="00115E65"/>
    <w:rsid w:val="00120726"/>
    <w:rsid w:val="00124B9D"/>
    <w:rsid w:val="00127ED9"/>
    <w:rsid w:val="00130064"/>
    <w:rsid w:val="001301C0"/>
    <w:rsid w:val="001322A2"/>
    <w:rsid w:val="001328C9"/>
    <w:rsid w:val="00134A32"/>
    <w:rsid w:val="00134B3F"/>
    <w:rsid w:val="001447CD"/>
    <w:rsid w:val="00167A0F"/>
    <w:rsid w:val="00170219"/>
    <w:rsid w:val="00173A53"/>
    <w:rsid w:val="00173AB4"/>
    <w:rsid w:val="00173EE2"/>
    <w:rsid w:val="00183B44"/>
    <w:rsid w:val="00191F8B"/>
    <w:rsid w:val="001931C1"/>
    <w:rsid w:val="00195929"/>
    <w:rsid w:val="001A5E9C"/>
    <w:rsid w:val="001B3925"/>
    <w:rsid w:val="001D474F"/>
    <w:rsid w:val="001D69DB"/>
    <w:rsid w:val="001D73C1"/>
    <w:rsid w:val="001D7401"/>
    <w:rsid w:val="001D7EC9"/>
    <w:rsid w:val="001F42BE"/>
    <w:rsid w:val="00200AD6"/>
    <w:rsid w:val="00207CAB"/>
    <w:rsid w:val="00207EA4"/>
    <w:rsid w:val="00214284"/>
    <w:rsid w:val="00216AD9"/>
    <w:rsid w:val="0022201A"/>
    <w:rsid w:val="00226B1B"/>
    <w:rsid w:val="00226FE1"/>
    <w:rsid w:val="00235C9A"/>
    <w:rsid w:val="0024714C"/>
    <w:rsid w:val="002502CA"/>
    <w:rsid w:val="00253561"/>
    <w:rsid w:val="00261D9F"/>
    <w:rsid w:val="00263579"/>
    <w:rsid w:val="00267B46"/>
    <w:rsid w:val="002840EB"/>
    <w:rsid w:val="002A7B6F"/>
    <w:rsid w:val="002B1F0F"/>
    <w:rsid w:val="002B4487"/>
    <w:rsid w:val="002B6052"/>
    <w:rsid w:val="002B7C91"/>
    <w:rsid w:val="002C06CE"/>
    <w:rsid w:val="002D40B4"/>
    <w:rsid w:val="002E7E57"/>
    <w:rsid w:val="002F6F46"/>
    <w:rsid w:val="00301144"/>
    <w:rsid w:val="003058DC"/>
    <w:rsid w:val="00306373"/>
    <w:rsid w:val="00307D36"/>
    <w:rsid w:val="003111AB"/>
    <w:rsid w:val="003146A8"/>
    <w:rsid w:val="003224CD"/>
    <w:rsid w:val="003230F0"/>
    <w:rsid w:val="00334EF6"/>
    <w:rsid w:val="003362B7"/>
    <w:rsid w:val="0033685D"/>
    <w:rsid w:val="00344126"/>
    <w:rsid w:val="0034725F"/>
    <w:rsid w:val="00351784"/>
    <w:rsid w:val="00351C9F"/>
    <w:rsid w:val="00364826"/>
    <w:rsid w:val="0036567F"/>
    <w:rsid w:val="00376B46"/>
    <w:rsid w:val="0038243C"/>
    <w:rsid w:val="00383845"/>
    <w:rsid w:val="003851F5"/>
    <w:rsid w:val="00395D76"/>
    <w:rsid w:val="003B19D1"/>
    <w:rsid w:val="003B7539"/>
    <w:rsid w:val="003C2884"/>
    <w:rsid w:val="003C5E93"/>
    <w:rsid w:val="003D45FE"/>
    <w:rsid w:val="003E0EF1"/>
    <w:rsid w:val="003E53E5"/>
    <w:rsid w:val="003E5BF9"/>
    <w:rsid w:val="003E6337"/>
    <w:rsid w:val="003E667A"/>
    <w:rsid w:val="003E78B7"/>
    <w:rsid w:val="00403B6A"/>
    <w:rsid w:val="00405278"/>
    <w:rsid w:val="00416A64"/>
    <w:rsid w:val="004171B4"/>
    <w:rsid w:val="004206C7"/>
    <w:rsid w:val="00434C01"/>
    <w:rsid w:val="004350D6"/>
    <w:rsid w:val="0044464C"/>
    <w:rsid w:val="00450A8F"/>
    <w:rsid w:val="00452E4E"/>
    <w:rsid w:val="00463130"/>
    <w:rsid w:val="00467E50"/>
    <w:rsid w:val="00470BA6"/>
    <w:rsid w:val="00483974"/>
    <w:rsid w:val="00486314"/>
    <w:rsid w:val="00486A95"/>
    <w:rsid w:val="00487ED0"/>
    <w:rsid w:val="0049197E"/>
    <w:rsid w:val="004958DB"/>
    <w:rsid w:val="00497847"/>
    <w:rsid w:val="004A1BE3"/>
    <w:rsid w:val="004B44C2"/>
    <w:rsid w:val="004C093F"/>
    <w:rsid w:val="004C0CF6"/>
    <w:rsid w:val="004C1C67"/>
    <w:rsid w:val="004C7B48"/>
    <w:rsid w:val="004D257F"/>
    <w:rsid w:val="004E25FA"/>
    <w:rsid w:val="004E2651"/>
    <w:rsid w:val="004E6871"/>
    <w:rsid w:val="004F12E2"/>
    <w:rsid w:val="004F72AC"/>
    <w:rsid w:val="00514603"/>
    <w:rsid w:val="00517CA3"/>
    <w:rsid w:val="0052271B"/>
    <w:rsid w:val="00526DEC"/>
    <w:rsid w:val="00531491"/>
    <w:rsid w:val="00531F25"/>
    <w:rsid w:val="00537259"/>
    <w:rsid w:val="00544CA4"/>
    <w:rsid w:val="005475EA"/>
    <w:rsid w:val="00552432"/>
    <w:rsid w:val="00562CE0"/>
    <w:rsid w:val="00567AEF"/>
    <w:rsid w:val="00570FF9"/>
    <w:rsid w:val="00571DF0"/>
    <w:rsid w:val="005772B1"/>
    <w:rsid w:val="00582297"/>
    <w:rsid w:val="00593D0B"/>
    <w:rsid w:val="00595D16"/>
    <w:rsid w:val="005A0A42"/>
    <w:rsid w:val="005A1C7F"/>
    <w:rsid w:val="005A6FC1"/>
    <w:rsid w:val="005A728B"/>
    <w:rsid w:val="005B2BB1"/>
    <w:rsid w:val="005B3B37"/>
    <w:rsid w:val="005C61E6"/>
    <w:rsid w:val="005C7BD6"/>
    <w:rsid w:val="005D0604"/>
    <w:rsid w:val="005D3391"/>
    <w:rsid w:val="005D6CB4"/>
    <w:rsid w:val="005E0AB5"/>
    <w:rsid w:val="005E1CF5"/>
    <w:rsid w:val="005F33D1"/>
    <w:rsid w:val="005F4A72"/>
    <w:rsid w:val="005F6F48"/>
    <w:rsid w:val="0060371C"/>
    <w:rsid w:val="00612209"/>
    <w:rsid w:val="006211E7"/>
    <w:rsid w:val="0062142E"/>
    <w:rsid w:val="00627390"/>
    <w:rsid w:val="006478D2"/>
    <w:rsid w:val="00650BD0"/>
    <w:rsid w:val="00651BAA"/>
    <w:rsid w:val="00654693"/>
    <w:rsid w:val="00657AE3"/>
    <w:rsid w:val="0066063F"/>
    <w:rsid w:val="00660B8D"/>
    <w:rsid w:val="00662284"/>
    <w:rsid w:val="00672675"/>
    <w:rsid w:val="00680E83"/>
    <w:rsid w:val="0068111A"/>
    <w:rsid w:val="00687AA8"/>
    <w:rsid w:val="006959BB"/>
    <w:rsid w:val="00696782"/>
    <w:rsid w:val="006A01F7"/>
    <w:rsid w:val="006A140F"/>
    <w:rsid w:val="006A31CE"/>
    <w:rsid w:val="006B2357"/>
    <w:rsid w:val="006B3389"/>
    <w:rsid w:val="006C3ED3"/>
    <w:rsid w:val="006C755F"/>
    <w:rsid w:val="006C771F"/>
    <w:rsid w:val="006D1C62"/>
    <w:rsid w:val="006D28E0"/>
    <w:rsid w:val="006D2959"/>
    <w:rsid w:val="006D354A"/>
    <w:rsid w:val="006E7912"/>
    <w:rsid w:val="006F1060"/>
    <w:rsid w:val="006F507B"/>
    <w:rsid w:val="006F5D83"/>
    <w:rsid w:val="006F741F"/>
    <w:rsid w:val="00701B20"/>
    <w:rsid w:val="00705C50"/>
    <w:rsid w:val="007077B9"/>
    <w:rsid w:val="00716258"/>
    <w:rsid w:val="007242D7"/>
    <w:rsid w:val="00724ABB"/>
    <w:rsid w:val="007369EA"/>
    <w:rsid w:val="00740351"/>
    <w:rsid w:val="00741D13"/>
    <w:rsid w:val="00741F11"/>
    <w:rsid w:val="0075492E"/>
    <w:rsid w:val="00754A9D"/>
    <w:rsid w:val="007554B0"/>
    <w:rsid w:val="00771F46"/>
    <w:rsid w:val="007758DD"/>
    <w:rsid w:val="00783B47"/>
    <w:rsid w:val="00787BAE"/>
    <w:rsid w:val="007901BC"/>
    <w:rsid w:val="007A17F6"/>
    <w:rsid w:val="007A5EBB"/>
    <w:rsid w:val="007A74D6"/>
    <w:rsid w:val="007B4E18"/>
    <w:rsid w:val="007B5A63"/>
    <w:rsid w:val="007C0A2C"/>
    <w:rsid w:val="007C6625"/>
    <w:rsid w:val="007E3A32"/>
    <w:rsid w:val="007E5648"/>
    <w:rsid w:val="007E620D"/>
    <w:rsid w:val="007E65D5"/>
    <w:rsid w:val="00801D28"/>
    <w:rsid w:val="008130D5"/>
    <w:rsid w:val="00823B63"/>
    <w:rsid w:val="00823F62"/>
    <w:rsid w:val="00826B33"/>
    <w:rsid w:val="00830816"/>
    <w:rsid w:val="00841310"/>
    <w:rsid w:val="00845711"/>
    <w:rsid w:val="008605CB"/>
    <w:rsid w:val="00865DD8"/>
    <w:rsid w:val="0087223A"/>
    <w:rsid w:val="00875A0E"/>
    <w:rsid w:val="00881F3D"/>
    <w:rsid w:val="00882FA1"/>
    <w:rsid w:val="00886ADE"/>
    <w:rsid w:val="008901EF"/>
    <w:rsid w:val="00890D62"/>
    <w:rsid w:val="008940CF"/>
    <w:rsid w:val="008965B8"/>
    <w:rsid w:val="008A1199"/>
    <w:rsid w:val="008A1F5D"/>
    <w:rsid w:val="008A5619"/>
    <w:rsid w:val="008A6991"/>
    <w:rsid w:val="008B0FB4"/>
    <w:rsid w:val="008B7A5F"/>
    <w:rsid w:val="008C2A0B"/>
    <w:rsid w:val="008C33A3"/>
    <w:rsid w:val="008C4B3F"/>
    <w:rsid w:val="008D2A04"/>
    <w:rsid w:val="008E22D5"/>
    <w:rsid w:val="008E4681"/>
    <w:rsid w:val="008E6614"/>
    <w:rsid w:val="008E73FD"/>
    <w:rsid w:val="00901A71"/>
    <w:rsid w:val="00915D88"/>
    <w:rsid w:val="0092041E"/>
    <w:rsid w:val="00920A84"/>
    <w:rsid w:val="00922125"/>
    <w:rsid w:val="00927FCF"/>
    <w:rsid w:val="00930C85"/>
    <w:rsid w:val="009317DB"/>
    <w:rsid w:val="00944747"/>
    <w:rsid w:val="00946F9C"/>
    <w:rsid w:val="00947418"/>
    <w:rsid w:val="00951913"/>
    <w:rsid w:val="00956E09"/>
    <w:rsid w:val="00961144"/>
    <w:rsid w:val="00977744"/>
    <w:rsid w:val="0098532E"/>
    <w:rsid w:val="00985A0F"/>
    <w:rsid w:val="00991E58"/>
    <w:rsid w:val="009933FE"/>
    <w:rsid w:val="00993888"/>
    <w:rsid w:val="00994495"/>
    <w:rsid w:val="00995B12"/>
    <w:rsid w:val="009A0338"/>
    <w:rsid w:val="009A039E"/>
    <w:rsid w:val="009A061D"/>
    <w:rsid w:val="009A589A"/>
    <w:rsid w:val="009B044B"/>
    <w:rsid w:val="009B7B7B"/>
    <w:rsid w:val="009D4224"/>
    <w:rsid w:val="009E0E63"/>
    <w:rsid w:val="009E3017"/>
    <w:rsid w:val="009E4996"/>
    <w:rsid w:val="009F7010"/>
    <w:rsid w:val="00A13228"/>
    <w:rsid w:val="00A13610"/>
    <w:rsid w:val="00A148C2"/>
    <w:rsid w:val="00A211A1"/>
    <w:rsid w:val="00A25CA4"/>
    <w:rsid w:val="00A334D6"/>
    <w:rsid w:val="00A3366D"/>
    <w:rsid w:val="00A4214A"/>
    <w:rsid w:val="00A47E70"/>
    <w:rsid w:val="00A51201"/>
    <w:rsid w:val="00A6092E"/>
    <w:rsid w:val="00A70867"/>
    <w:rsid w:val="00A7181F"/>
    <w:rsid w:val="00A728C2"/>
    <w:rsid w:val="00A74230"/>
    <w:rsid w:val="00A74F82"/>
    <w:rsid w:val="00A752F5"/>
    <w:rsid w:val="00A83EEC"/>
    <w:rsid w:val="00A86344"/>
    <w:rsid w:val="00A90F3E"/>
    <w:rsid w:val="00AA3E95"/>
    <w:rsid w:val="00AA693F"/>
    <w:rsid w:val="00AC0082"/>
    <w:rsid w:val="00AC5A73"/>
    <w:rsid w:val="00AD58B1"/>
    <w:rsid w:val="00AE44FD"/>
    <w:rsid w:val="00AE4A28"/>
    <w:rsid w:val="00AE6FC8"/>
    <w:rsid w:val="00AF0783"/>
    <w:rsid w:val="00AF0FAE"/>
    <w:rsid w:val="00AF28C2"/>
    <w:rsid w:val="00B00304"/>
    <w:rsid w:val="00B06E9D"/>
    <w:rsid w:val="00B10B9B"/>
    <w:rsid w:val="00B13690"/>
    <w:rsid w:val="00B14550"/>
    <w:rsid w:val="00B27F00"/>
    <w:rsid w:val="00B33541"/>
    <w:rsid w:val="00B36951"/>
    <w:rsid w:val="00B47EC3"/>
    <w:rsid w:val="00B52CD5"/>
    <w:rsid w:val="00B558B0"/>
    <w:rsid w:val="00B617C7"/>
    <w:rsid w:val="00B62436"/>
    <w:rsid w:val="00B713EE"/>
    <w:rsid w:val="00B84D51"/>
    <w:rsid w:val="00B85273"/>
    <w:rsid w:val="00B86282"/>
    <w:rsid w:val="00B870CE"/>
    <w:rsid w:val="00BA5416"/>
    <w:rsid w:val="00BA7EDA"/>
    <w:rsid w:val="00BC5F8E"/>
    <w:rsid w:val="00BD36CD"/>
    <w:rsid w:val="00BD4A3E"/>
    <w:rsid w:val="00BD7DDD"/>
    <w:rsid w:val="00BE6D67"/>
    <w:rsid w:val="00BF2947"/>
    <w:rsid w:val="00BF3270"/>
    <w:rsid w:val="00BF7067"/>
    <w:rsid w:val="00C0628B"/>
    <w:rsid w:val="00C155D2"/>
    <w:rsid w:val="00C166DF"/>
    <w:rsid w:val="00C201F2"/>
    <w:rsid w:val="00C249CC"/>
    <w:rsid w:val="00C27227"/>
    <w:rsid w:val="00C27C1F"/>
    <w:rsid w:val="00C27DE2"/>
    <w:rsid w:val="00C301C6"/>
    <w:rsid w:val="00C35E8E"/>
    <w:rsid w:val="00C40039"/>
    <w:rsid w:val="00C53812"/>
    <w:rsid w:val="00C7143B"/>
    <w:rsid w:val="00C775FD"/>
    <w:rsid w:val="00C77701"/>
    <w:rsid w:val="00C810F8"/>
    <w:rsid w:val="00C82FA5"/>
    <w:rsid w:val="00C84642"/>
    <w:rsid w:val="00C90A06"/>
    <w:rsid w:val="00CA09C9"/>
    <w:rsid w:val="00CA7429"/>
    <w:rsid w:val="00CB4723"/>
    <w:rsid w:val="00CC35CC"/>
    <w:rsid w:val="00CC456D"/>
    <w:rsid w:val="00CC6E04"/>
    <w:rsid w:val="00CF18AE"/>
    <w:rsid w:val="00CF30D6"/>
    <w:rsid w:val="00D003F7"/>
    <w:rsid w:val="00D175BD"/>
    <w:rsid w:val="00D243C3"/>
    <w:rsid w:val="00D273BF"/>
    <w:rsid w:val="00D33F96"/>
    <w:rsid w:val="00D3424A"/>
    <w:rsid w:val="00D41F77"/>
    <w:rsid w:val="00D42429"/>
    <w:rsid w:val="00D42928"/>
    <w:rsid w:val="00D54BCC"/>
    <w:rsid w:val="00D75607"/>
    <w:rsid w:val="00D96161"/>
    <w:rsid w:val="00DA3D98"/>
    <w:rsid w:val="00DA3EB1"/>
    <w:rsid w:val="00DA4476"/>
    <w:rsid w:val="00DA5EA4"/>
    <w:rsid w:val="00DB1024"/>
    <w:rsid w:val="00DB3723"/>
    <w:rsid w:val="00DB7B02"/>
    <w:rsid w:val="00DC0EE3"/>
    <w:rsid w:val="00DC3546"/>
    <w:rsid w:val="00DD6604"/>
    <w:rsid w:val="00DE19FB"/>
    <w:rsid w:val="00DE49A4"/>
    <w:rsid w:val="00E02034"/>
    <w:rsid w:val="00E031D5"/>
    <w:rsid w:val="00E058D7"/>
    <w:rsid w:val="00E43720"/>
    <w:rsid w:val="00E55AFD"/>
    <w:rsid w:val="00E577FF"/>
    <w:rsid w:val="00E57AA1"/>
    <w:rsid w:val="00E57D46"/>
    <w:rsid w:val="00E57E6E"/>
    <w:rsid w:val="00E60D6E"/>
    <w:rsid w:val="00E674B9"/>
    <w:rsid w:val="00E67546"/>
    <w:rsid w:val="00E73757"/>
    <w:rsid w:val="00E94208"/>
    <w:rsid w:val="00E95E6F"/>
    <w:rsid w:val="00E961B8"/>
    <w:rsid w:val="00EA05F8"/>
    <w:rsid w:val="00EB3876"/>
    <w:rsid w:val="00EC127A"/>
    <w:rsid w:val="00EC2042"/>
    <w:rsid w:val="00EC6897"/>
    <w:rsid w:val="00ED0DFC"/>
    <w:rsid w:val="00EE4FBB"/>
    <w:rsid w:val="00EE4FC2"/>
    <w:rsid w:val="00EE5581"/>
    <w:rsid w:val="00EF2BF4"/>
    <w:rsid w:val="00EF3100"/>
    <w:rsid w:val="00EF48FF"/>
    <w:rsid w:val="00EF5A2D"/>
    <w:rsid w:val="00F06F7C"/>
    <w:rsid w:val="00F071A9"/>
    <w:rsid w:val="00F16EBA"/>
    <w:rsid w:val="00F2232C"/>
    <w:rsid w:val="00F23E66"/>
    <w:rsid w:val="00F33991"/>
    <w:rsid w:val="00F34DCB"/>
    <w:rsid w:val="00F3545D"/>
    <w:rsid w:val="00F35901"/>
    <w:rsid w:val="00F409CB"/>
    <w:rsid w:val="00F43560"/>
    <w:rsid w:val="00F45787"/>
    <w:rsid w:val="00F47EF1"/>
    <w:rsid w:val="00F63479"/>
    <w:rsid w:val="00F70C05"/>
    <w:rsid w:val="00F76A9C"/>
    <w:rsid w:val="00F86AED"/>
    <w:rsid w:val="00FA557B"/>
    <w:rsid w:val="00FA5E7B"/>
    <w:rsid w:val="00FA677E"/>
    <w:rsid w:val="00FD0885"/>
    <w:rsid w:val="00FE52A1"/>
    <w:rsid w:val="00FF1A11"/>
    <w:rsid w:val="00FF26C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83081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30816"/>
    <w:rPr>
      <w:rFonts w:ascii="Tahoma" w:hAnsi="Tahoma" w:cs="Tahoma"/>
      <w:sz w:val="16"/>
      <w:szCs w:val="16"/>
    </w:rPr>
  </w:style>
  <w:style w:type="paragraph" w:styleId="En-tte">
    <w:name w:val="header"/>
    <w:basedOn w:val="Normal"/>
    <w:link w:val="En-tteCar"/>
    <w:uiPriority w:val="99"/>
    <w:unhideWhenUsed/>
    <w:rsid w:val="009D4224"/>
    <w:pPr>
      <w:tabs>
        <w:tab w:val="center" w:pos="4536"/>
        <w:tab w:val="right" w:pos="9072"/>
      </w:tabs>
      <w:spacing w:after="0" w:line="240" w:lineRule="auto"/>
    </w:pPr>
  </w:style>
  <w:style w:type="character" w:customStyle="1" w:styleId="En-tteCar">
    <w:name w:val="En-tête Car"/>
    <w:basedOn w:val="Policepardfaut"/>
    <w:link w:val="En-tte"/>
    <w:uiPriority w:val="99"/>
    <w:rsid w:val="009D4224"/>
  </w:style>
  <w:style w:type="paragraph" w:styleId="Pieddepage">
    <w:name w:val="footer"/>
    <w:basedOn w:val="Normal"/>
    <w:link w:val="PieddepageCar"/>
    <w:uiPriority w:val="99"/>
    <w:unhideWhenUsed/>
    <w:rsid w:val="009D422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D4224"/>
  </w:style>
  <w:style w:type="paragraph" w:styleId="Paragraphedeliste">
    <w:name w:val="List Paragraph"/>
    <w:basedOn w:val="Normal"/>
    <w:uiPriority w:val="34"/>
    <w:qFormat/>
    <w:rsid w:val="007901BC"/>
    <w:pPr>
      <w:ind w:left="720"/>
      <w:contextualSpacing/>
    </w:pPr>
  </w:style>
  <w:style w:type="character" w:styleId="Accentuation">
    <w:name w:val="Emphasis"/>
    <w:basedOn w:val="Policepardfaut"/>
    <w:uiPriority w:val="20"/>
    <w:qFormat/>
    <w:rsid w:val="00007190"/>
    <w:rPr>
      <w:b/>
      <w:bCs/>
      <w:i w:val="0"/>
      <w:iCs w:val="0"/>
    </w:rPr>
  </w:style>
  <w:style w:type="character" w:customStyle="1" w:styleId="st1">
    <w:name w:val="st1"/>
    <w:basedOn w:val="Policepardfaut"/>
    <w:rsid w:val="000071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83081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30816"/>
    <w:rPr>
      <w:rFonts w:ascii="Tahoma" w:hAnsi="Tahoma" w:cs="Tahoma"/>
      <w:sz w:val="16"/>
      <w:szCs w:val="16"/>
    </w:rPr>
  </w:style>
  <w:style w:type="paragraph" w:styleId="En-tte">
    <w:name w:val="header"/>
    <w:basedOn w:val="Normal"/>
    <w:link w:val="En-tteCar"/>
    <w:uiPriority w:val="99"/>
    <w:unhideWhenUsed/>
    <w:rsid w:val="009D4224"/>
    <w:pPr>
      <w:tabs>
        <w:tab w:val="center" w:pos="4536"/>
        <w:tab w:val="right" w:pos="9072"/>
      </w:tabs>
      <w:spacing w:after="0" w:line="240" w:lineRule="auto"/>
    </w:pPr>
  </w:style>
  <w:style w:type="character" w:customStyle="1" w:styleId="En-tteCar">
    <w:name w:val="En-tête Car"/>
    <w:basedOn w:val="Policepardfaut"/>
    <w:link w:val="En-tte"/>
    <w:uiPriority w:val="99"/>
    <w:rsid w:val="009D4224"/>
  </w:style>
  <w:style w:type="paragraph" w:styleId="Pieddepage">
    <w:name w:val="footer"/>
    <w:basedOn w:val="Normal"/>
    <w:link w:val="PieddepageCar"/>
    <w:uiPriority w:val="99"/>
    <w:unhideWhenUsed/>
    <w:rsid w:val="009D422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D4224"/>
  </w:style>
  <w:style w:type="paragraph" w:styleId="Paragraphedeliste">
    <w:name w:val="List Paragraph"/>
    <w:basedOn w:val="Normal"/>
    <w:uiPriority w:val="34"/>
    <w:qFormat/>
    <w:rsid w:val="007901BC"/>
    <w:pPr>
      <w:ind w:left="720"/>
      <w:contextualSpacing/>
    </w:pPr>
  </w:style>
  <w:style w:type="character" w:styleId="Accentuation">
    <w:name w:val="Emphasis"/>
    <w:basedOn w:val="Policepardfaut"/>
    <w:uiPriority w:val="20"/>
    <w:qFormat/>
    <w:rsid w:val="00007190"/>
    <w:rPr>
      <w:b/>
      <w:bCs/>
      <w:i w:val="0"/>
      <w:iCs w:val="0"/>
    </w:rPr>
  </w:style>
  <w:style w:type="character" w:customStyle="1" w:styleId="st1">
    <w:name w:val="st1"/>
    <w:basedOn w:val="Policepardfaut"/>
    <w:rsid w:val="000071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22132E-6582-4265-B29A-888CC0F17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3</Pages>
  <Words>1299</Words>
  <Characters>7147</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
    </vt:vector>
  </TitlesOfParts>
  <Company>CNFPT</Company>
  <LinksUpToDate>false</LinksUpToDate>
  <CharactersWithSpaces>8430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BERLANDIER Nadège</dc:creator>
  <cp:lastModifiedBy>BERLANDIER Nadège</cp:lastModifiedBy>
  <cp:revision>39</cp:revision>
  <cp:lastPrinted>2017-05-10T07:12:00Z</cp:lastPrinted>
  <dcterms:created xsi:type="dcterms:W3CDTF">2017-05-02T14:32:00Z</dcterms:created>
  <dcterms:modified xsi:type="dcterms:W3CDTF">2017-05-10T07:15:00Z</dcterms:modified>
</cp:coreProperties>
</file>