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31" w:rsidRDefault="00C977E4" w:rsidP="00E14E31">
      <w:pPr>
        <w:spacing w:after="0"/>
        <w:ind w:left="-993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91DB882" wp14:editId="443C2845">
            <wp:extent cx="1371600" cy="1019175"/>
            <wp:effectExtent l="0" t="0" r="0" b="9525"/>
            <wp:docPr id="1" name="Imag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3B" w:rsidRPr="003C2B09" w:rsidRDefault="00C977E4" w:rsidP="003C2B09">
      <w:pPr>
        <w:spacing w:after="0"/>
        <w:ind w:left="-426"/>
        <w:rPr>
          <w:noProof/>
          <w:sz w:val="21"/>
          <w:szCs w:val="21"/>
          <w:lang w:eastAsia="fr-FR"/>
        </w:rPr>
      </w:pPr>
      <w:r w:rsidRPr="003C2B09">
        <w:rPr>
          <w:noProof/>
          <w:sz w:val="21"/>
          <w:szCs w:val="21"/>
          <w:lang w:eastAsia="fr-FR"/>
        </w:rPr>
        <w:t>Direction générale adjointe chargée du développement de la formation</w:t>
      </w:r>
      <w:r w:rsidRPr="003C2B09">
        <w:rPr>
          <w:sz w:val="21"/>
          <w:szCs w:val="21"/>
        </w:rPr>
        <w:t xml:space="preserve"> </w:t>
      </w:r>
    </w:p>
    <w:p w:rsidR="00C977E4" w:rsidRPr="003C2B09" w:rsidRDefault="00C977E4" w:rsidP="003C2B09">
      <w:pPr>
        <w:spacing w:after="0"/>
        <w:ind w:left="-426"/>
        <w:rPr>
          <w:noProof/>
          <w:sz w:val="21"/>
          <w:szCs w:val="21"/>
          <w:lang w:eastAsia="fr-FR"/>
        </w:rPr>
      </w:pPr>
      <w:r w:rsidRPr="003C2B09">
        <w:rPr>
          <w:sz w:val="21"/>
          <w:szCs w:val="21"/>
        </w:rPr>
        <w:t>Secrétariat de la commission d’équivalence de diplômes</w:t>
      </w:r>
    </w:p>
    <w:p w:rsidR="00C977E4" w:rsidRPr="003C2B09" w:rsidRDefault="00C977E4" w:rsidP="00C977E4">
      <w:pPr>
        <w:spacing w:after="0"/>
        <w:rPr>
          <w:sz w:val="21"/>
          <w:szCs w:val="21"/>
        </w:rPr>
      </w:pPr>
    </w:p>
    <w:p w:rsidR="00503E3B" w:rsidRPr="00196044" w:rsidRDefault="00DE272F" w:rsidP="00503E3B">
      <w:pPr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Enquête</w:t>
      </w:r>
      <w:r w:rsidR="00002F71" w:rsidRPr="00196044">
        <w:rPr>
          <w:sz w:val="21"/>
          <w:szCs w:val="21"/>
        </w:rPr>
        <w:t xml:space="preserve"> effectuée du </w:t>
      </w:r>
      <w:r w:rsidR="000B3682" w:rsidRPr="00196044">
        <w:rPr>
          <w:sz w:val="21"/>
          <w:szCs w:val="21"/>
        </w:rPr>
        <w:t>16 janvier  au 4 février 2015</w:t>
      </w:r>
    </w:p>
    <w:p w:rsidR="00503E3B" w:rsidRPr="00196044" w:rsidRDefault="00002F71" w:rsidP="00700204">
      <w:pPr>
        <w:spacing w:after="0"/>
        <w:jc w:val="center"/>
        <w:rPr>
          <w:sz w:val="21"/>
          <w:szCs w:val="21"/>
        </w:rPr>
      </w:pPr>
      <w:r w:rsidRPr="00196044">
        <w:rPr>
          <w:sz w:val="21"/>
          <w:szCs w:val="21"/>
        </w:rPr>
        <w:t xml:space="preserve"> </w:t>
      </w:r>
      <w:proofErr w:type="gramStart"/>
      <w:r w:rsidR="008D6971">
        <w:rPr>
          <w:sz w:val="21"/>
          <w:szCs w:val="21"/>
        </w:rPr>
        <w:t>a</w:t>
      </w:r>
      <w:r w:rsidRPr="00196044">
        <w:rPr>
          <w:sz w:val="21"/>
          <w:szCs w:val="21"/>
        </w:rPr>
        <w:t>upr</w:t>
      </w:r>
      <w:r w:rsidR="008D6971">
        <w:rPr>
          <w:sz w:val="21"/>
          <w:szCs w:val="21"/>
        </w:rPr>
        <w:t>ès</w:t>
      </w:r>
      <w:proofErr w:type="gramEnd"/>
      <w:r w:rsidR="008D6971">
        <w:rPr>
          <w:sz w:val="21"/>
          <w:szCs w:val="21"/>
        </w:rPr>
        <w:t xml:space="preserve"> </w:t>
      </w:r>
      <w:r w:rsidRPr="00196044">
        <w:rPr>
          <w:sz w:val="21"/>
          <w:szCs w:val="21"/>
        </w:rPr>
        <w:t xml:space="preserve">des </w:t>
      </w:r>
      <w:r w:rsidR="000B3682" w:rsidRPr="00196044">
        <w:rPr>
          <w:sz w:val="21"/>
          <w:szCs w:val="21"/>
        </w:rPr>
        <w:t xml:space="preserve"> assistants de conservation du patrimoine et des bibliothèques </w:t>
      </w:r>
      <w:r w:rsidR="00196044" w:rsidRPr="00196044">
        <w:rPr>
          <w:sz w:val="21"/>
          <w:szCs w:val="21"/>
        </w:rPr>
        <w:t>(</w:t>
      </w:r>
      <w:r w:rsidR="00196044" w:rsidRPr="007F28C4">
        <w:rPr>
          <w:b/>
          <w:sz w:val="21"/>
          <w:szCs w:val="21"/>
        </w:rPr>
        <w:t>spécialité</w:t>
      </w:r>
      <w:r w:rsidR="000B3682" w:rsidRPr="007F28C4">
        <w:rPr>
          <w:b/>
          <w:sz w:val="21"/>
          <w:szCs w:val="21"/>
        </w:rPr>
        <w:t xml:space="preserve"> bibliothèques</w:t>
      </w:r>
      <w:r w:rsidR="000B3682" w:rsidRPr="00196044">
        <w:rPr>
          <w:sz w:val="21"/>
          <w:szCs w:val="21"/>
        </w:rPr>
        <w:t>)</w:t>
      </w:r>
    </w:p>
    <w:p w:rsidR="00002F71" w:rsidRPr="00196044" w:rsidRDefault="00002F71" w:rsidP="00503E3B">
      <w:pPr>
        <w:spacing w:after="0"/>
        <w:jc w:val="center"/>
        <w:rPr>
          <w:sz w:val="21"/>
          <w:szCs w:val="21"/>
        </w:rPr>
      </w:pPr>
      <w:proofErr w:type="gramStart"/>
      <w:r w:rsidRPr="00196044">
        <w:rPr>
          <w:sz w:val="21"/>
          <w:szCs w:val="21"/>
        </w:rPr>
        <w:t>ayant</w:t>
      </w:r>
      <w:proofErr w:type="gramEnd"/>
      <w:r w:rsidRPr="00196044">
        <w:rPr>
          <w:sz w:val="21"/>
          <w:szCs w:val="21"/>
        </w:rPr>
        <w:t xml:space="preserve"> obtenu une décision favorable de la commi</w:t>
      </w:r>
      <w:r w:rsidR="008D6971">
        <w:rPr>
          <w:sz w:val="21"/>
          <w:szCs w:val="21"/>
        </w:rPr>
        <w:t>ssion d’équivalence de diplômes</w:t>
      </w:r>
    </w:p>
    <w:p w:rsidR="000B3682" w:rsidRDefault="000B3682" w:rsidP="00002F71">
      <w:pPr>
        <w:rPr>
          <w:b/>
          <w:sz w:val="21"/>
          <w:szCs w:val="21"/>
          <w:u w:val="single"/>
        </w:rPr>
      </w:pPr>
    </w:p>
    <w:p w:rsidR="000B3682" w:rsidRPr="00196044" w:rsidRDefault="00B12449" w:rsidP="00002F71">
      <w:pPr>
        <w:rPr>
          <w:sz w:val="21"/>
          <w:szCs w:val="21"/>
        </w:rPr>
      </w:pPr>
      <w:r w:rsidRPr="00196044">
        <w:rPr>
          <w:sz w:val="21"/>
          <w:szCs w:val="21"/>
        </w:rPr>
        <w:t xml:space="preserve"> Le résultat de la présente </w:t>
      </w:r>
      <w:r w:rsidR="00271F87" w:rsidRPr="00196044">
        <w:rPr>
          <w:sz w:val="21"/>
          <w:szCs w:val="21"/>
        </w:rPr>
        <w:t>enquête</w:t>
      </w:r>
      <w:r w:rsidR="0008330F" w:rsidRPr="00196044">
        <w:rPr>
          <w:sz w:val="21"/>
          <w:szCs w:val="21"/>
        </w:rPr>
        <w:t xml:space="preserve"> </w:t>
      </w:r>
      <w:r w:rsidRPr="00196044">
        <w:rPr>
          <w:sz w:val="21"/>
          <w:szCs w:val="21"/>
        </w:rPr>
        <w:t>porte sur un échantillonnage correspondant à 26% de la population concernée</w:t>
      </w:r>
      <w:r w:rsidR="00271F87" w:rsidRPr="00196044">
        <w:rPr>
          <w:sz w:val="21"/>
          <w:szCs w:val="21"/>
        </w:rPr>
        <w:t xml:space="preserve"> sauf en ce qui concerne le profil  </w:t>
      </w:r>
      <w:r w:rsidR="002904A4">
        <w:rPr>
          <w:sz w:val="21"/>
          <w:szCs w:val="21"/>
        </w:rPr>
        <w:t xml:space="preserve">ci-dessous </w:t>
      </w:r>
      <w:r w:rsidR="00271F87" w:rsidRPr="00196044">
        <w:rPr>
          <w:sz w:val="21"/>
          <w:szCs w:val="21"/>
        </w:rPr>
        <w:t>lequel ne relève pas de l’enquête mais du constat des saisines</w:t>
      </w:r>
      <w:r w:rsidR="00DE272F">
        <w:rPr>
          <w:sz w:val="21"/>
          <w:szCs w:val="21"/>
        </w:rPr>
        <w:t>.</w:t>
      </w:r>
    </w:p>
    <w:p w:rsidR="00940694" w:rsidRPr="00196044" w:rsidRDefault="00940694" w:rsidP="001B20FE">
      <w:pPr>
        <w:spacing w:after="0"/>
        <w:jc w:val="both"/>
        <w:rPr>
          <w:b/>
          <w:sz w:val="21"/>
          <w:szCs w:val="21"/>
          <w:u w:val="single"/>
        </w:rPr>
      </w:pPr>
      <w:r w:rsidRPr="00196044">
        <w:rPr>
          <w:b/>
          <w:sz w:val="21"/>
          <w:szCs w:val="21"/>
          <w:u w:val="single"/>
        </w:rPr>
        <w:t>Le p</w:t>
      </w:r>
      <w:r w:rsidR="001B20FE" w:rsidRPr="00196044">
        <w:rPr>
          <w:b/>
          <w:sz w:val="21"/>
          <w:szCs w:val="21"/>
          <w:u w:val="single"/>
        </w:rPr>
        <w:t>rofil des candidats</w:t>
      </w:r>
      <w:r w:rsidR="00503E3B" w:rsidRPr="00196044">
        <w:rPr>
          <w:b/>
          <w:sz w:val="21"/>
          <w:szCs w:val="21"/>
          <w:u w:val="single"/>
        </w:rPr>
        <w:t xml:space="preserve"> </w:t>
      </w:r>
      <w:r w:rsidR="007F28C4">
        <w:rPr>
          <w:b/>
          <w:sz w:val="21"/>
          <w:szCs w:val="21"/>
          <w:u w:val="single"/>
        </w:rPr>
        <w:t xml:space="preserve"> ayant saisi la commission d’équivalence dans la spécialité bibliothèques</w:t>
      </w:r>
    </w:p>
    <w:p w:rsidR="002E3C36" w:rsidRPr="003C2B09" w:rsidRDefault="002E3C36" w:rsidP="001B20FE">
      <w:pPr>
        <w:spacing w:after="0"/>
        <w:jc w:val="both"/>
        <w:rPr>
          <w:sz w:val="21"/>
          <w:szCs w:val="21"/>
          <w:u w:val="single"/>
        </w:rPr>
      </w:pPr>
    </w:p>
    <w:p w:rsidR="00271F87" w:rsidRPr="00271F87" w:rsidRDefault="00271F87" w:rsidP="0008330F">
      <w:pPr>
        <w:pStyle w:val="Paragraphedeliste"/>
        <w:spacing w:after="0"/>
        <w:ind w:left="567"/>
        <w:jc w:val="both"/>
        <w:rPr>
          <w:sz w:val="21"/>
          <w:szCs w:val="21"/>
          <w:u w:val="single"/>
        </w:rPr>
      </w:pPr>
      <w:r w:rsidRPr="00271F87">
        <w:rPr>
          <w:sz w:val="21"/>
          <w:szCs w:val="21"/>
          <w:u w:val="single"/>
        </w:rPr>
        <w:t>Age :</w:t>
      </w:r>
    </w:p>
    <w:p w:rsidR="0008330F" w:rsidRDefault="00446377" w:rsidP="0008330F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L’âge</w:t>
      </w:r>
      <w:r w:rsidR="00D41FAC">
        <w:rPr>
          <w:sz w:val="21"/>
          <w:szCs w:val="21"/>
        </w:rPr>
        <w:t xml:space="preserve"> moyen des candidats ayant eu un a</w:t>
      </w:r>
      <w:r>
        <w:rPr>
          <w:sz w:val="21"/>
          <w:szCs w:val="21"/>
        </w:rPr>
        <w:t xml:space="preserve">vis favorable de la commission </w:t>
      </w:r>
      <w:r w:rsidR="00D41FAC">
        <w:rPr>
          <w:sz w:val="21"/>
          <w:szCs w:val="21"/>
        </w:rPr>
        <w:t>est de 33 ans.</w:t>
      </w:r>
    </w:p>
    <w:p w:rsidR="00D41FAC" w:rsidRDefault="00EA7AF2" w:rsidP="0008330F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58</w:t>
      </w:r>
      <w:r w:rsidR="00D41FAC">
        <w:rPr>
          <w:sz w:val="21"/>
          <w:szCs w:val="21"/>
        </w:rPr>
        <w:t>% des candidats ont entre 25 et 34 ans</w:t>
      </w:r>
    </w:p>
    <w:p w:rsidR="00D41FAC" w:rsidRDefault="00EA7AF2" w:rsidP="0008330F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27</w:t>
      </w:r>
      <w:r w:rsidR="00D41FAC">
        <w:rPr>
          <w:sz w:val="21"/>
          <w:szCs w:val="21"/>
        </w:rPr>
        <w:t>% entre 35 à 44 ans</w:t>
      </w:r>
    </w:p>
    <w:p w:rsidR="00D41FAC" w:rsidRDefault="00D41FAC" w:rsidP="0008330F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Les moins de 25 ans représentent 7%,</w:t>
      </w:r>
    </w:p>
    <w:p w:rsidR="00D41FAC" w:rsidRDefault="00D41FAC" w:rsidP="0008330F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Les plus de 45 ans 8%</w:t>
      </w:r>
    </w:p>
    <w:p w:rsidR="000424B5" w:rsidRDefault="000424B5" w:rsidP="0008330F">
      <w:pPr>
        <w:pStyle w:val="Paragraphedeliste"/>
        <w:spacing w:after="0"/>
        <w:ind w:left="567"/>
        <w:jc w:val="both"/>
        <w:rPr>
          <w:sz w:val="21"/>
          <w:szCs w:val="21"/>
        </w:rPr>
      </w:pPr>
    </w:p>
    <w:p w:rsidR="00271F87" w:rsidRPr="00271F87" w:rsidRDefault="00446377" w:rsidP="0008330F">
      <w:pPr>
        <w:pStyle w:val="Paragraphedeliste"/>
        <w:spacing w:after="0"/>
        <w:ind w:left="567"/>
        <w:jc w:val="both"/>
        <w:rPr>
          <w:sz w:val="21"/>
          <w:szCs w:val="21"/>
          <w:u w:val="single"/>
        </w:rPr>
      </w:pPr>
      <w:r w:rsidRPr="00271F87">
        <w:rPr>
          <w:sz w:val="21"/>
          <w:szCs w:val="21"/>
          <w:u w:val="single"/>
        </w:rPr>
        <w:t>Sexe</w:t>
      </w:r>
      <w:r w:rsidR="00994EE5">
        <w:rPr>
          <w:sz w:val="21"/>
          <w:szCs w:val="21"/>
          <w:u w:val="single"/>
        </w:rPr>
        <w:t> :</w:t>
      </w:r>
    </w:p>
    <w:p w:rsidR="00503E3B" w:rsidRDefault="00271F87" w:rsidP="003C2B09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84% des candidats sont</w:t>
      </w:r>
      <w:r w:rsidR="00EF7DAD">
        <w:rPr>
          <w:sz w:val="21"/>
          <w:szCs w:val="21"/>
        </w:rPr>
        <w:t xml:space="preserve"> </w:t>
      </w:r>
      <w:r w:rsidR="001B20FE" w:rsidRPr="003C2B09">
        <w:rPr>
          <w:sz w:val="21"/>
          <w:szCs w:val="21"/>
        </w:rPr>
        <w:t xml:space="preserve">des femmes, </w:t>
      </w:r>
    </w:p>
    <w:p w:rsidR="00271F87" w:rsidRDefault="00271F87" w:rsidP="00892093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1</w:t>
      </w:r>
      <w:r w:rsidR="00892093">
        <w:rPr>
          <w:sz w:val="21"/>
          <w:szCs w:val="21"/>
        </w:rPr>
        <w:t>6% sont des hommes.</w:t>
      </w:r>
    </w:p>
    <w:p w:rsidR="000424B5" w:rsidRPr="00446377" w:rsidRDefault="000424B5" w:rsidP="00446377">
      <w:pPr>
        <w:spacing w:after="0"/>
        <w:jc w:val="both"/>
        <w:rPr>
          <w:sz w:val="21"/>
          <w:szCs w:val="21"/>
        </w:rPr>
      </w:pPr>
    </w:p>
    <w:p w:rsidR="00EF7DAD" w:rsidRPr="004D3307" w:rsidRDefault="00D41FAC" w:rsidP="00514D03">
      <w:pPr>
        <w:pStyle w:val="Paragraphedeliste"/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population concernée est </w:t>
      </w:r>
      <w:r w:rsidR="00892093">
        <w:rPr>
          <w:sz w:val="21"/>
          <w:szCs w:val="21"/>
        </w:rPr>
        <w:t xml:space="preserve">relativement jeune </w:t>
      </w:r>
      <w:r w:rsidR="00C5641E">
        <w:rPr>
          <w:sz w:val="21"/>
          <w:szCs w:val="21"/>
        </w:rPr>
        <w:t>et à</w:t>
      </w:r>
      <w:r w:rsidR="00446377">
        <w:rPr>
          <w:sz w:val="21"/>
          <w:szCs w:val="21"/>
        </w:rPr>
        <w:t xml:space="preserve"> très forte majorité féminine</w:t>
      </w:r>
      <w:r w:rsidR="00892093">
        <w:rPr>
          <w:sz w:val="21"/>
          <w:szCs w:val="21"/>
        </w:rPr>
        <w:t>.</w:t>
      </w:r>
      <w:r w:rsidR="00446377">
        <w:rPr>
          <w:sz w:val="21"/>
          <w:szCs w:val="21"/>
        </w:rPr>
        <w:t xml:space="preserve"> </w:t>
      </w:r>
      <w:r w:rsidR="00EA49EB">
        <w:rPr>
          <w:sz w:val="21"/>
          <w:szCs w:val="21"/>
        </w:rPr>
        <w:t>Si l’on tient compte de</w:t>
      </w:r>
      <w:r w:rsidR="000424B5">
        <w:rPr>
          <w:sz w:val="21"/>
          <w:szCs w:val="21"/>
        </w:rPr>
        <w:t xml:space="preserve"> </w:t>
      </w:r>
      <w:r w:rsidR="00892093">
        <w:rPr>
          <w:sz w:val="21"/>
          <w:szCs w:val="21"/>
        </w:rPr>
        <w:t>l’âge</w:t>
      </w:r>
      <w:r w:rsidR="000424B5">
        <w:rPr>
          <w:sz w:val="21"/>
          <w:szCs w:val="21"/>
        </w:rPr>
        <w:t xml:space="preserve"> détenu au moment </w:t>
      </w:r>
      <w:r w:rsidR="00892093">
        <w:rPr>
          <w:sz w:val="21"/>
          <w:szCs w:val="21"/>
        </w:rPr>
        <w:t>du concours</w:t>
      </w:r>
      <w:r w:rsidR="000424B5">
        <w:rPr>
          <w:sz w:val="21"/>
          <w:szCs w:val="21"/>
        </w:rPr>
        <w:t xml:space="preserve"> on peut estimer que </w:t>
      </w:r>
      <w:r w:rsidR="00EA7AF2">
        <w:rPr>
          <w:sz w:val="21"/>
          <w:szCs w:val="21"/>
        </w:rPr>
        <w:t>62</w:t>
      </w:r>
      <w:r w:rsidR="00CB6B9D">
        <w:rPr>
          <w:sz w:val="21"/>
          <w:szCs w:val="21"/>
        </w:rPr>
        <w:t xml:space="preserve">% des candidats </w:t>
      </w:r>
      <w:r w:rsidR="000424B5">
        <w:rPr>
          <w:sz w:val="21"/>
          <w:szCs w:val="21"/>
        </w:rPr>
        <w:t>détiennent</w:t>
      </w:r>
      <w:r w:rsidR="00514D03">
        <w:rPr>
          <w:sz w:val="21"/>
          <w:szCs w:val="21"/>
        </w:rPr>
        <w:t xml:space="preserve"> ou ont détenu</w:t>
      </w:r>
      <w:r w:rsidR="000424B5">
        <w:rPr>
          <w:sz w:val="21"/>
          <w:szCs w:val="21"/>
        </w:rPr>
        <w:t xml:space="preserve"> plus de cinq </w:t>
      </w:r>
      <w:r w:rsidR="00892093">
        <w:rPr>
          <w:sz w:val="21"/>
          <w:szCs w:val="21"/>
        </w:rPr>
        <w:t>années</w:t>
      </w:r>
      <w:r w:rsidR="000424B5">
        <w:rPr>
          <w:sz w:val="21"/>
          <w:szCs w:val="21"/>
        </w:rPr>
        <w:t xml:space="preserve"> d’expérience professionnelle</w:t>
      </w:r>
      <w:r w:rsidR="00892093">
        <w:rPr>
          <w:sz w:val="21"/>
          <w:szCs w:val="21"/>
        </w:rPr>
        <w:t xml:space="preserve"> à cette date</w:t>
      </w:r>
      <w:r w:rsidR="00EA49EB">
        <w:rPr>
          <w:sz w:val="21"/>
          <w:szCs w:val="21"/>
        </w:rPr>
        <w:t xml:space="preserve">. Et </w:t>
      </w:r>
      <w:r w:rsidR="00791CB8">
        <w:rPr>
          <w:sz w:val="21"/>
          <w:szCs w:val="21"/>
        </w:rPr>
        <w:t xml:space="preserve">que sur les 38% restant </w:t>
      </w:r>
      <w:r w:rsidR="00984677">
        <w:rPr>
          <w:sz w:val="21"/>
          <w:szCs w:val="21"/>
        </w:rPr>
        <w:t>(dont</w:t>
      </w:r>
      <w:r w:rsidR="00EA49EB">
        <w:rPr>
          <w:sz w:val="21"/>
          <w:szCs w:val="21"/>
        </w:rPr>
        <w:t xml:space="preserve"> les 25/29 ans représentent  82%), </w:t>
      </w:r>
      <w:r w:rsidR="00514D03">
        <w:rPr>
          <w:sz w:val="21"/>
          <w:szCs w:val="21"/>
        </w:rPr>
        <w:t>il peut être raisonnablement pensé qu’ils disposent  pour une majorité d’entre eux déjà d’une expérience professionnelle, même si elle peut être de durée assez courte.</w:t>
      </w:r>
    </w:p>
    <w:p w:rsidR="00892093" w:rsidRDefault="00892093" w:rsidP="003C2B09">
      <w:pPr>
        <w:pStyle w:val="Paragraphedeliste"/>
        <w:spacing w:after="0"/>
        <w:ind w:left="567"/>
        <w:jc w:val="both"/>
        <w:rPr>
          <w:sz w:val="21"/>
          <w:szCs w:val="21"/>
        </w:rPr>
      </w:pPr>
    </w:p>
    <w:p w:rsidR="00892093" w:rsidRDefault="00196044" w:rsidP="00196044">
      <w:pPr>
        <w:pStyle w:val="Paragraphedeliste"/>
        <w:spacing w:after="0"/>
        <w:ind w:left="0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 Caractéristiques du</w:t>
      </w:r>
      <w:r w:rsidR="008947A0" w:rsidRPr="008947A0">
        <w:rPr>
          <w:b/>
          <w:sz w:val="21"/>
          <w:szCs w:val="21"/>
          <w:u w:val="single"/>
        </w:rPr>
        <w:t xml:space="preserve"> panel interrogé :</w:t>
      </w:r>
    </w:p>
    <w:p w:rsidR="0014285D" w:rsidRPr="008947A0" w:rsidRDefault="0014285D" w:rsidP="00196044">
      <w:pPr>
        <w:pStyle w:val="Paragraphedeliste"/>
        <w:spacing w:after="0"/>
        <w:ind w:left="0"/>
        <w:jc w:val="both"/>
        <w:rPr>
          <w:b/>
          <w:sz w:val="21"/>
          <w:szCs w:val="21"/>
          <w:u w:val="single"/>
        </w:rPr>
      </w:pPr>
    </w:p>
    <w:p w:rsidR="008947A0" w:rsidRPr="003C2B09" w:rsidRDefault="00196044" w:rsidP="00196044">
      <w:pPr>
        <w:pStyle w:val="Paragraphedeliste"/>
        <w:numPr>
          <w:ilvl w:val="0"/>
          <w:numId w:val="3"/>
        </w:num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Vis-à-vis de l’emploi</w:t>
      </w:r>
    </w:p>
    <w:p w:rsidR="008D6971" w:rsidRDefault="008947A0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Un peu plus de 60</w:t>
      </w:r>
      <w:r w:rsidR="002E3C36" w:rsidRPr="003C2B09">
        <w:rPr>
          <w:sz w:val="21"/>
          <w:szCs w:val="21"/>
        </w:rPr>
        <w:t xml:space="preserve"> % des interrogés ont indiqué </w:t>
      </w:r>
      <w:r>
        <w:rPr>
          <w:sz w:val="21"/>
          <w:szCs w:val="21"/>
        </w:rPr>
        <w:t>être en situation d’emploi au moment de la saisie de la commission</w:t>
      </w:r>
      <w:r w:rsidR="008D6971">
        <w:rPr>
          <w:sz w:val="21"/>
          <w:szCs w:val="21"/>
        </w:rPr>
        <w:t>.</w:t>
      </w:r>
    </w:p>
    <w:p w:rsidR="008947A0" w:rsidRDefault="008947A0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CA2776">
        <w:rPr>
          <w:sz w:val="21"/>
          <w:szCs w:val="21"/>
        </w:rPr>
        <w:t>Ce pourcentage se répartit</w:t>
      </w:r>
      <w:r>
        <w:rPr>
          <w:sz w:val="21"/>
          <w:szCs w:val="21"/>
        </w:rPr>
        <w:t xml:space="preserve"> comme suit :</w:t>
      </w:r>
    </w:p>
    <w:p w:rsidR="008947A0" w:rsidRDefault="008947A0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50% des candidats travaillent dans la fonction publique </w:t>
      </w:r>
      <w:r w:rsidR="00196044">
        <w:rPr>
          <w:sz w:val="21"/>
          <w:szCs w:val="21"/>
        </w:rPr>
        <w:t>(territoriale</w:t>
      </w:r>
      <w:r>
        <w:rPr>
          <w:sz w:val="21"/>
          <w:szCs w:val="21"/>
        </w:rPr>
        <w:t xml:space="preserve">, état, hospitalière) </w:t>
      </w:r>
    </w:p>
    <w:p w:rsidR="008947A0" w:rsidRDefault="008947A0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10% travaillent dans le secteur privé.</w:t>
      </w:r>
    </w:p>
    <w:p w:rsidR="00196044" w:rsidRDefault="00196044" w:rsidP="00196044">
      <w:pPr>
        <w:spacing w:after="0"/>
        <w:ind w:left="567"/>
        <w:jc w:val="both"/>
        <w:rPr>
          <w:sz w:val="21"/>
          <w:szCs w:val="21"/>
        </w:rPr>
      </w:pPr>
    </w:p>
    <w:p w:rsidR="00196044" w:rsidRDefault="00196044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Parmi les candidats agent publics :</w:t>
      </w:r>
    </w:p>
    <w:p w:rsidR="00196044" w:rsidRDefault="00196044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68% d’entre eux sont contractuels dont 3% contractuels de droit privé.</w:t>
      </w:r>
    </w:p>
    <w:p w:rsidR="00196044" w:rsidRDefault="00196044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42% de ces contractuels étaient en poste depuis au moin</w:t>
      </w:r>
      <w:r w:rsidR="0018440C">
        <w:rPr>
          <w:sz w:val="21"/>
          <w:szCs w:val="21"/>
        </w:rPr>
        <w:t xml:space="preserve">s 2 ans, 27% depuis 1 an, 32 % </w:t>
      </w:r>
      <w:r>
        <w:rPr>
          <w:sz w:val="21"/>
          <w:szCs w:val="21"/>
        </w:rPr>
        <w:t>étaient recrutés l’année du concours.</w:t>
      </w:r>
    </w:p>
    <w:p w:rsidR="00196044" w:rsidRDefault="00196044" w:rsidP="00196044">
      <w:pPr>
        <w:spacing w:after="0"/>
        <w:jc w:val="both"/>
        <w:rPr>
          <w:sz w:val="21"/>
          <w:szCs w:val="21"/>
        </w:rPr>
      </w:pPr>
    </w:p>
    <w:p w:rsidR="00CA2776" w:rsidRDefault="00CA2776" w:rsidP="00196044">
      <w:pPr>
        <w:spacing w:after="0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En revanche 36% des candidats </w:t>
      </w:r>
      <w:r w:rsidR="0018440C">
        <w:rPr>
          <w:sz w:val="21"/>
          <w:szCs w:val="21"/>
        </w:rPr>
        <w:t>étaient</w:t>
      </w:r>
      <w:r>
        <w:rPr>
          <w:sz w:val="21"/>
          <w:szCs w:val="21"/>
        </w:rPr>
        <w:t xml:space="preserve"> soit étudiant soit sans emploi au moment de la saisie.</w:t>
      </w:r>
    </w:p>
    <w:p w:rsidR="00196044" w:rsidRDefault="00196044" w:rsidP="00196044">
      <w:pPr>
        <w:spacing w:after="0"/>
        <w:ind w:left="567"/>
        <w:jc w:val="both"/>
        <w:rPr>
          <w:sz w:val="21"/>
          <w:szCs w:val="21"/>
        </w:rPr>
      </w:pPr>
    </w:p>
    <w:p w:rsidR="00D218F2" w:rsidRDefault="00196044" w:rsidP="00196044">
      <w:pPr>
        <w:pStyle w:val="Paragraphedeliste"/>
        <w:numPr>
          <w:ilvl w:val="0"/>
          <w:numId w:val="3"/>
        </w:numPr>
        <w:jc w:val="both"/>
        <w:rPr>
          <w:sz w:val="21"/>
          <w:szCs w:val="21"/>
        </w:rPr>
      </w:pPr>
      <w:r>
        <w:rPr>
          <w:sz w:val="21"/>
          <w:szCs w:val="21"/>
        </w:rPr>
        <w:t>Vis-à-vis  de l’employeur</w:t>
      </w:r>
    </w:p>
    <w:p w:rsidR="007A5DAE" w:rsidRDefault="00B158FC" w:rsidP="007A5DAE">
      <w:pPr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88% des candidats trav</w:t>
      </w:r>
      <w:r w:rsidR="00117EEE">
        <w:rPr>
          <w:sz w:val="21"/>
          <w:szCs w:val="21"/>
        </w:rPr>
        <w:t>aillaient ou travaillent</w:t>
      </w:r>
      <w:r>
        <w:rPr>
          <w:sz w:val="21"/>
          <w:szCs w:val="21"/>
        </w:rPr>
        <w:t xml:space="preserve"> au sein de communes,</w:t>
      </w:r>
      <w:r w:rsidR="00744B1B">
        <w:rPr>
          <w:sz w:val="21"/>
          <w:szCs w:val="21"/>
        </w:rPr>
        <w:t xml:space="preserve"> dont</w:t>
      </w:r>
      <w:r>
        <w:rPr>
          <w:sz w:val="21"/>
          <w:szCs w:val="21"/>
        </w:rPr>
        <w:t xml:space="preserve"> </w:t>
      </w:r>
      <w:r w:rsidR="007A5DAE">
        <w:rPr>
          <w:sz w:val="21"/>
          <w:szCs w:val="21"/>
        </w:rPr>
        <w:t>62%</w:t>
      </w:r>
      <w:r w:rsidR="00196044">
        <w:rPr>
          <w:sz w:val="21"/>
          <w:szCs w:val="21"/>
        </w:rPr>
        <w:t xml:space="preserve"> </w:t>
      </w:r>
      <w:r>
        <w:rPr>
          <w:sz w:val="21"/>
          <w:szCs w:val="21"/>
        </w:rPr>
        <w:t>dans des</w:t>
      </w:r>
      <w:r w:rsidR="00196044">
        <w:rPr>
          <w:sz w:val="21"/>
          <w:szCs w:val="21"/>
        </w:rPr>
        <w:t xml:space="preserve"> collectivités d’au moins 20</w:t>
      </w:r>
      <w:r w:rsidR="007A5DAE">
        <w:rPr>
          <w:sz w:val="21"/>
          <w:szCs w:val="21"/>
        </w:rPr>
        <w:t> 000H,</w:t>
      </w:r>
      <w:r w:rsidR="00744B1B">
        <w:rPr>
          <w:sz w:val="21"/>
          <w:szCs w:val="21"/>
        </w:rPr>
        <w:t xml:space="preserve"> le reste se répartissant au sein de communes de moins de 10 000habitanta ; A</w:t>
      </w:r>
      <w:r>
        <w:rPr>
          <w:sz w:val="21"/>
          <w:szCs w:val="21"/>
        </w:rPr>
        <w:t>ccessoirement, ils peuvent aussi exercer au sein de département , ou syndicat de communes ( 1,5 %) ou encore au sein d’établissement publics de coopération intercommunale ( moins de 10%)</w:t>
      </w:r>
    </w:p>
    <w:p w:rsidR="002904A4" w:rsidRDefault="002904A4" w:rsidP="002A3B6E">
      <w:pPr>
        <w:pStyle w:val="Paragraphedeliste"/>
        <w:numPr>
          <w:ilvl w:val="0"/>
          <w:numId w:val="4"/>
        </w:numPr>
        <w:jc w:val="both"/>
        <w:rPr>
          <w:sz w:val="21"/>
          <w:szCs w:val="21"/>
        </w:rPr>
      </w:pPr>
      <w:r w:rsidRPr="002A3B6E">
        <w:rPr>
          <w:sz w:val="21"/>
          <w:szCs w:val="21"/>
        </w:rPr>
        <w:t>Vis-à-vis des diplômes</w:t>
      </w:r>
    </w:p>
    <w:p w:rsidR="00A16ABD" w:rsidRPr="00A16ABD" w:rsidRDefault="00C87665" w:rsidP="00C87665">
      <w:pPr>
        <w:ind w:left="567"/>
        <w:jc w:val="both"/>
        <w:rPr>
          <w:sz w:val="21"/>
          <w:szCs w:val="21"/>
        </w:rPr>
      </w:pPr>
      <w:r>
        <w:rPr>
          <w:noProof/>
          <w:lang w:eastAsia="fr-FR"/>
        </w:rPr>
        <w:drawing>
          <wp:inline distT="0" distB="0" distL="0" distR="0" wp14:anchorId="6116E8F0" wp14:editId="46F332F4">
            <wp:extent cx="4572000" cy="2743200"/>
            <wp:effectExtent l="0" t="0" r="19050" b="1905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7665" w:rsidRDefault="002904A4" w:rsidP="002A3B6E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Plus </w:t>
      </w:r>
      <w:r w:rsidR="00AD23E9">
        <w:rPr>
          <w:sz w:val="21"/>
          <w:szCs w:val="21"/>
        </w:rPr>
        <w:t>de 86</w:t>
      </w:r>
      <w:r w:rsidR="002E3C36" w:rsidRPr="002904A4">
        <w:rPr>
          <w:sz w:val="21"/>
          <w:szCs w:val="21"/>
        </w:rPr>
        <w:t>%</w:t>
      </w:r>
      <w:r w:rsidR="00984677">
        <w:rPr>
          <w:sz w:val="21"/>
          <w:szCs w:val="21"/>
        </w:rPr>
        <w:t xml:space="preserve"> des candidats</w:t>
      </w:r>
      <w:r w:rsidR="002E3C36" w:rsidRPr="002904A4">
        <w:rPr>
          <w:sz w:val="21"/>
          <w:szCs w:val="21"/>
        </w:rPr>
        <w:t xml:space="preserve"> </w:t>
      </w:r>
      <w:r w:rsidR="002A3B6E">
        <w:rPr>
          <w:sz w:val="21"/>
          <w:szCs w:val="21"/>
        </w:rPr>
        <w:t>possède</w:t>
      </w:r>
      <w:r w:rsidR="00C87665">
        <w:rPr>
          <w:sz w:val="21"/>
          <w:szCs w:val="21"/>
        </w:rPr>
        <w:t>nt</w:t>
      </w:r>
      <w:r w:rsidR="002E3C36" w:rsidRPr="002904A4">
        <w:rPr>
          <w:sz w:val="21"/>
          <w:szCs w:val="21"/>
        </w:rPr>
        <w:t xml:space="preserve"> un niveau d’études supérieur</w:t>
      </w:r>
      <w:r>
        <w:rPr>
          <w:sz w:val="21"/>
          <w:szCs w:val="21"/>
        </w:rPr>
        <w:t xml:space="preserve"> au b</w:t>
      </w:r>
      <w:r w:rsidR="00984677">
        <w:rPr>
          <w:sz w:val="21"/>
          <w:szCs w:val="21"/>
        </w:rPr>
        <w:t>accalauréat</w:t>
      </w:r>
      <w:r w:rsidR="00C87665">
        <w:rPr>
          <w:sz w:val="21"/>
          <w:szCs w:val="21"/>
        </w:rPr>
        <w:t> :</w:t>
      </w:r>
    </w:p>
    <w:p w:rsidR="002904A4" w:rsidRPr="00984677" w:rsidRDefault="00984677" w:rsidP="002A3B6E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niveau</w:t>
      </w:r>
      <w:proofErr w:type="gramEnd"/>
      <w:r>
        <w:rPr>
          <w:sz w:val="21"/>
          <w:szCs w:val="21"/>
        </w:rPr>
        <w:t xml:space="preserve"> bac + 5 </w:t>
      </w:r>
      <w:r w:rsidR="00C87665">
        <w:rPr>
          <w:sz w:val="21"/>
          <w:szCs w:val="21"/>
        </w:rPr>
        <w:t>(</w:t>
      </w:r>
      <w:r w:rsidR="002904A4">
        <w:rPr>
          <w:sz w:val="21"/>
          <w:szCs w:val="21"/>
        </w:rPr>
        <w:t>40%</w:t>
      </w:r>
      <w:r w:rsidR="00C87665">
        <w:rPr>
          <w:sz w:val="21"/>
          <w:szCs w:val="21"/>
        </w:rPr>
        <w:t>)</w:t>
      </w:r>
      <w:r w:rsidR="002904A4">
        <w:rPr>
          <w:sz w:val="21"/>
          <w:szCs w:val="21"/>
        </w:rPr>
        <w:t xml:space="preserve"> et </w:t>
      </w:r>
      <w:r>
        <w:rPr>
          <w:sz w:val="21"/>
          <w:szCs w:val="21"/>
        </w:rPr>
        <w:t>Bac+ 3</w:t>
      </w:r>
      <w:r w:rsidR="002904A4" w:rsidRPr="00984677">
        <w:rPr>
          <w:sz w:val="21"/>
          <w:szCs w:val="21"/>
        </w:rPr>
        <w:t>/4</w:t>
      </w:r>
      <w:r w:rsidR="00D00D03" w:rsidRPr="00984677">
        <w:rPr>
          <w:sz w:val="21"/>
          <w:szCs w:val="21"/>
        </w:rPr>
        <w:t xml:space="preserve">: </w:t>
      </w:r>
      <w:r w:rsidR="00C87665">
        <w:rPr>
          <w:sz w:val="21"/>
          <w:szCs w:val="21"/>
        </w:rPr>
        <w:t>(</w:t>
      </w:r>
      <w:r w:rsidR="004A640E">
        <w:rPr>
          <w:sz w:val="21"/>
          <w:szCs w:val="21"/>
        </w:rPr>
        <w:t>41</w:t>
      </w:r>
      <w:r w:rsidR="002904A4" w:rsidRPr="00984677">
        <w:rPr>
          <w:sz w:val="21"/>
          <w:szCs w:val="21"/>
        </w:rPr>
        <w:t>%</w:t>
      </w:r>
      <w:r w:rsidR="00C87665">
        <w:rPr>
          <w:sz w:val="21"/>
          <w:szCs w:val="21"/>
        </w:rPr>
        <w:t>)</w:t>
      </w:r>
      <w:r w:rsidR="002904A4" w:rsidRPr="00984677">
        <w:rPr>
          <w:sz w:val="21"/>
          <w:szCs w:val="21"/>
        </w:rPr>
        <w:t>,</w:t>
      </w:r>
    </w:p>
    <w:p w:rsidR="002904A4" w:rsidRDefault="002904A4" w:rsidP="002A3B6E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Et pour 63% d’entre eux le diplôme possédé est considéré comme ayant un lien avec le métier envisagé.</w:t>
      </w:r>
    </w:p>
    <w:p w:rsidR="002904A4" w:rsidRDefault="002904A4" w:rsidP="002A3B6E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Seul un peu moins de 10% des </w:t>
      </w:r>
      <w:r w:rsidR="0018440C">
        <w:rPr>
          <w:sz w:val="21"/>
          <w:szCs w:val="21"/>
        </w:rPr>
        <w:t>candidats interrogés précise</w:t>
      </w:r>
      <w:r w:rsidR="00C87665">
        <w:rPr>
          <w:sz w:val="21"/>
          <w:szCs w:val="21"/>
        </w:rPr>
        <w:t>nt</w:t>
      </w:r>
      <w:r w:rsidR="0018440C">
        <w:rPr>
          <w:sz w:val="21"/>
          <w:szCs w:val="21"/>
        </w:rPr>
        <w:t xml:space="preserve"> ne</w:t>
      </w:r>
      <w:r>
        <w:rPr>
          <w:sz w:val="21"/>
          <w:szCs w:val="21"/>
        </w:rPr>
        <w:t xml:space="preserve"> pas avoir d’autre diplôme que le bac.</w:t>
      </w:r>
    </w:p>
    <w:p w:rsidR="002A3B6E" w:rsidRDefault="002A3B6E" w:rsidP="002A3B6E">
      <w:pPr>
        <w:pStyle w:val="Paragraphedeliste"/>
        <w:ind w:left="567"/>
        <w:jc w:val="both"/>
        <w:rPr>
          <w:sz w:val="21"/>
          <w:szCs w:val="21"/>
        </w:rPr>
      </w:pPr>
    </w:p>
    <w:p w:rsidR="00984677" w:rsidRDefault="002A3B6E" w:rsidP="002A3B6E">
      <w:pPr>
        <w:pStyle w:val="Paragraphedeliste"/>
        <w:numPr>
          <w:ilvl w:val="0"/>
          <w:numId w:val="4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Vis-à-vis de la réussite au concours :</w:t>
      </w:r>
    </w:p>
    <w:p w:rsidR="00C0716E" w:rsidRDefault="006E66F4" w:rsidP="00AD6961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D62818">
        <w:rPr>
          <w:sz w:val="21"/>
          <w:szCs w:val="21"/>
        </w:rPr>
        <w:t>4,5</w:t>
      </w:r>
      <w:r w:rsidR="002A3B6E">
        <w:rPr>
          <w:sz w:val="21"/>
          <w:szCs w:val="21"/>
        </w:rPr>
        <w:t>% des candidats ayant eu une décision favorable</w:t>
      </w:r>
      <w:r>
        <w:rPr>
          <w:sz w:val="21"/>
          <w:szCs w:val="21"/>
        </w:rPr>
        <w:t xml:space="preserve"> </w:t>
      </w:r>
      <w:r w:rsidR="002A3B6E">
        <w:rPr>
          <w:sz w:val="21"/>
          <w:szCs w:val="21"/>
        </w:rPr>
        <w:t>de la commission ont réussi le concours</w:t>
      </w:r>
      <w:r w:rsidR="00CB0B0F">
        <w:rPr>
          <w:sz w:val="21"/>
          <w:szCs w:val="21"/>
        </w:rPr>
        <w:t>,</w:t>
      </w:r>
      <w:r w:rsidR="00C0716E">
        <w:rPr>
          <w:sz w:val="21"/>
          <w:szCs w:val="21"/>
        </w:rPr>
        <w:t xml:space="preserve"> </w:t>
      </w:r>
    </w:p>
    <w:p w:rsidR="006E66F4" w:rsidRDefault="00CB0B0F" w:rsidP="006E66F4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1</w:t>
      </w:r>
      <w:r w:rsidR="00C0716E">
        <w:rPr>
          <w:sz w:val="21"/>
          <w:szCs w:val="21"/>
        </w:rPr>
        <w:t>3</w:t>
      </w:r>
      <w:r>
        <w:rPr>
          <w:sz w:val="21"/>
          <w:szCs w:val="21"/>
        </w:rPr>
        <w:t>,6% ne se sont pas présenté</w:t>
      </w:r>
      <w:r w:rsidR="008D6971">
        <w:rPr>
          <w:sz w:val="21"/>
          <w:szCs w:val="21"/>
        </w:rPr>
        <w:t>s aux épreuves,</w:t>
      </w:r>
    </w:p>
    <w:p w:rsidR="002A3B6E" w:rsidRPr="006E66F4" w:rsidRDefault="00D62818" w:rsidP="006E66F4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57,8</w:t>
      </w:r>
      <w:r w:rsidR="002A3B6E" w:rsidRPr="006E66F4">
        <w:rPr>
          <w:sz w:val="21"/>
          <w:szCs w:val="21"/>
        </w:rPr>
        <w:t xml:space="preserve">% n’ont pas </w:t>
      </w:r>
      <w:r w:rsidR="00185769">
        <w:rPr>
          <w:sz w:val="21"/>
          <w:szCs w:val="21"/>
        </w:rPr>
        <w:t>eu le concours</w:t>
      </w:r>
      <w:r w:rsidR="002A3B6E" w:rsidRPr="006E66F4">
        <w:rPr>
          <w:sz w:val="21"/>
          <w:szCs w:val="21"/>
        </w:rPr>
        <w:t>.</w:t>
      </w:r>
    </w:p>
    <w:p w:rsidR="002A3B6E" w:rsidRDefault="002A3B6E" w:rsidP="00AD6961">
      <w:pPr>
        <w:pStyle w:val="Paragraphedeliste"/>
        <w:ind w:left="567"/>
        <w:jc w:val="both"/>
        <w:rPr>
          <w:sz w:val="21"/>
          <w:szCs w:val="21"/>
        </w:rPr>
      </w:pPr>
    </w:p>
    <w:p w:rsidR="00AD6961" w:rsidRPr="00A9094C" w:rsidRDefault="00744B1B" w:rsidP="00AD6961">
      <w:pPr>
        <w:pStyle w:val="Paragraphedeliste"/>
        <w:ind w:left="567"/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Facteurs de réussite au concours et nomination</w:t>
      </w:r>
      <w:r w:rsidR="00AD6961" w:rsidRPr="00A9094C">
        <w:rPr>
          <w:sz w:val="21"/>
          <w:szCs w:val="21"/>
          <w:u w:val="single"/>
        </w:rPr>
        <w:t> :</w:t>
      </w:r>
    </w:p>
    <w:p w:rsidR="00AD6961" w:rsidRDefault="00AD6961" w:rsidP="00AD6961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A640E" w:rsidRDefault="00CB0B0F" w:rsidP="00744B1B">
      <w:pPr>
        <w:pStyle w:val="Paragraphedeliste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Interro</w:t>
      </w:r>
      <w:r w:rsidR="002C4441">
        <w:rPr>
          <w:sz w:val="21"/>
          <w:szCs w:val="21"/>
        </w:rPr>
        <w:t xml:space="preserve">gés sur le facteur de réussite </w:t>
      </w:r>
      <w:r>
        <w:rPr>
          <w:sz w:val="21"/>
          <w:szCs w:val="21"/>
        </w:rPr>
        <w:t>au concours, 44%</w:t>
      </w:r>
      <w:r w:rsidR="002A4CC9">
        <w:rPr>
          <w:sz w:val="21"/>
          <w:szCs w:val="21"/>
        </w:rPr>
        <w:t xml:space="preserve"> plébiscitent</w:t>
      </w:r>
      <w:r>
        <w:rPr>
          <w:sz w:val="21"/>
          <w:szCs w:val="21"/>
        </w:rPr>
        <w:t xml:space="preserve"> </w:t>
      </w:r>
      <w:r w:rsidR="002A4CC9">
        <w:rPr>
          <w:sz w:val="21"/>
          <w:szCs w:val="21"/>
        </w:rPr>
        <w:t xml:space="preserve">la préparation au concours, </w:t>
      </w:r>
      <w:r>
        <w:rPr>
          <w:sz w:val="21"/>
          <w:szCs w:val="21"/>
        </w:rPr>
        <w:t xml:space="preserve">22% </w:t>
      </w:r>
      <w:r w:rsidR="002A4CC9">
        <w:rPr>
          <w:sz w:val="21"/>
          <w:szCs w:val="21"/>
        </w:rPr>
        <w:t>évoquent</w:t>
      </w:r>
      <w:r>
        <w:rPr>
          <w:sz w:val="21"/>
          <w:szCs w:val="21"/>
        </w:rPr>
        <w:t xml:space="preserve"> leur expérience professionnelle, et pour les autres </w:t>
      </w:r>
      <w:r w:rsidR="002A4CC9">
        <w:rPr>
          <w:sz w:val="21"/>
          <w:szCs w:val="21"/>
        </w:rPr>
        <w:t xml:space="preserve">leur </w:t>
      </w:r>
      <w:r>
        <w:rPr>
          <w:sz w:val="21"/>
          <w:szCs w:val="21"/>
        </w:rPr>
        <w:t xml:space="preserve">formation </w:t>
      </w:r>
    </w:p>
    <w:p w:rsidR="00CF7985" w:rsidRDefault="00CF7985" w:rsidP="00744B1B">
      <w:pPr>
        <w:pStyle w:val="Paragraphedeliste"/>
        <w:ind w:left="567"/>
        <w:jc w:val="both"/>
        <w:rPr>
          <w:sz w:val="21"/>
          <w:szCs w:val="21"/>
        </w:rPr>
      </w:pPr>
    </w:p>
    <w:p w:rsidR="00CF7985" w:rsidRDefault="00CF7985" w:rsidP="005345D0">
      <w:pPr>
        <w:pStyle w:val="Paragraphedeliste"/>
        <w:ind w:left="0" w:right="-426"/>
        <w:jc w:val="both"/>
        <w:rPr>
          <w:sz w:val="21"/>
          <w:szCs w:val="21"/>
        </w:rPr>
      </w:pPr>
      <w:r>
        <w:rPr>
          <w:noProof/>
          <w:lang w:eastAsia="fr-FR"/>
        </w:rPr>
        <w:lastRenderedPageBreak/>
        <w:drawing>
          <wp:inline distT="0" distB="0" distL="0" distR="0" wp14:anchorId="22E1A8A6" wp14:editId="460FA06D">
            <wp:extent cx="5814060" cy="3154680"/>
            <wp:effectExtent l="0" t="0" r="15240" b="2667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7985" w:rsidRPr="00CF7985" w:rsidRDefault="00CF7985" w:rsidP="00CF798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Lorsque la formation est citée, celle qui domine est </w:t>
      </w:r>
      <w:r w:rsidR="005345D0">
        <w:rPr>
          <w:sz w:val="21"/>
          <w:szCs w:val="21"/>
        </w:rPr>
        <w:t>celle</w:t>
      </w:r>
      <w:r>
        <w:rPr>
          <w:sz w:val="21"/>
          <w:szCs w:val="21"/>
        </w:rPr>
        <w:t xml:space="preserve"> de niveau 1 </w:t>
      </w:r>
      <w:r w:rsidR="00C87665">
        <w:rPr>
          <w:sz w:val="21"/>
          <w:szCs w:val="21"/>
        </w:rPr>
        <w:t>(bac</w:t>
      </w:r>
      <w:r>
        <w:rPr>
          <w:sz w:val="21"/>
          <w:szCs w:val="21"/>
        </w:rPr>
        <w:t xml:space="preserve"> plus 5) pour p</w:t>
      </w:r>
      <w:r w:rsidR="004633EF">
        <w:rPr>
          <w:sz w:val="21"/>
          <w:szCs w:val="21"/>
        </w:rPr>
        <w:t>rès de 19% des lauréats, suivie</w:t>
      </w:r>
      <w:r>
        <w:rPr>
          <w:sz w:val="21"/>
          <w:szCs w:val="21"/>
        </w:rPr>
        <w:t xml:space="preserve"> par </w:t>
      </w:r>
      <w:r w:rsidR="00C87665">
        <w:rPr>
          <w:sz w:val="21"/>
          <w:szCs w:val="21"/>
        </w:rPr>
        <w:t>les formations</w:t>
      </w:r>
      <w:r>
        <w:rPr>
          <w:sz w:val="21"/>
          <w:szCs w:val="21"/>
        </w:rPr>
        <w:t xml:space="preserve"> de niveau 2 </w:t>
      </w:r>
      <w:r w:rsidR="00C87665">
        <w:rPr>
          <w:sz w:val="21"/>
          <w:szCs w:val="21"/>
        </w:rPr>
        <w:t>(licence</w:t>
      </w:r>
      <w:r>
        <w:rPr>
          <w:sz w:val="21"/>
          <w:szCs w:val="21"/>
        </w:rPr>
        <w:t>,</w:t>
      </w:r>
      <w:r w:rsidR="002C4441">
        <w:rPr>
          <w:sz w:val="21"/>
          <w:szCs w:val="21"/>
        </w:rPr>
        <w:t xml:space="preserve"> maitrise) (11% des candidats).</w:t>
      </w:r>
      <w:r>
        <w:rPr>
          <w:sz w:val="21"/>
          <w:szCs w:val="21"/>
        </w:rPr>
        <w:t xml:space="preserve"> Dans le panel concerné</w:t>
      </w:r>
      <w:r w:rsidR="00F352C3">
        <w:rPr>
          <w:sz w:val="21"/>
          <w:szCs w:val="21"/>
        </w:rPr>
        <w:t>, aucun des</w:t>
      </w:r>
      <w:r w:rsidR="00C87665">
        <w:rPr>
          <w:sz w:val="21"/>
          <w:szCs w:val="21"/>
        </w:rPr>
        <w:t xml:space="preserve"> admis au concours</w:t>
      </w:r>
      <w:r>
        <w:rPr>
          <w:sz w:val="21"/>
          <w:szCs w:val="21"/>
        </w:rPr>
        <w:t xml:space="preserve"> n’a évoqué son bac plus 2, et un seul candidat a évoqué son baccalauréat.</w:t>
      </w:r>
    </w:p>
    <w:p w:rsidR="00CC489F" w:rsidRDefault="00CC489F" w:rsidP="00CF7985">
      <w:pPr>
        <w:pStyle w:val="Paragraphedeliste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Ceux qui </w:t>
      </w:r>
      <w:r w:rsidR="0084344C">
        <w:rPr>
          <w:sz w:val="21"/>
          <w:szCs w:val="21"/>
        </w:rPr>
        <w:t>évoquent</w:t>
      </w:r>
      <w:r>
        <w:rPr>
          <w:sz w:val="21"/>
          <w:szCs w:val="21"/>
        </w:rPr>
        <w:t xml:space="preserve"> </w:t>
      </w:r>
      <w:r w:rsidR="0084344C">
        <w:rPr>
          <w:sz w:val="21"/>
          <w:szCs w:val="21"/>
        </w:rPr>
        <w:t>leur expérience professionnelle</w:t>
      </w:r>
      <w:r>
        <w:rPr>
          <w:sz w:val="21"/>
          <w:szCs w:val="21"/>
        </w:rPr>
        <w:t xml:space="preserve"> travaillent quasiment tous dans une bibliothèque ou médiathèque</w:t>
      </w:r>
      <w:r w:rsidR="008D6971">
        <w:rPr>
          <w:sz w:val="21"/>
          <w:szCs w:val="21"/>
        </w:rPr>
        <w:t>.</w:t>
      </w:r>
    </w:p>
    <w:p w:rsidR="00744B1B" w:rsidRDefault="00744B1B" w:rsidP="0084344C">
      <w:pPr>
        <w:pStyle w:val="Paragraphedeliste"/>
        <w:ind w:left="0"/>
        <w:jc w:val="both"/>
        <w:rPr>
          <w:sz w:val="21"/>
          <w:szCs w:val="21"/>
        </w:rPr>
      </w:pPr>
    </w:p>
    <w:p w:rsidR="00744B1B" w:rsidRPr="002A3B6E" w:rsidRDefault="00744B1B" w:rsidP="0084344C">
      <w:pPr>
        <w:pStyle w:val="Paragraphedeliste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Plus de 58% des candidats </w:t>
      </w:r>
      <w:r w:rsidR="009F77F6">
        <w:rPr>
          <w:sz w:val="21"/>
          <w:szCs w:val="21"/>
        </w:rPr>
        <w:t xml:space="preserve"> ayant réussi le concours </w:t>
      </w:r>
      <w:r>
        <w:rPr>
          <w:sz w:val="21"/>
          <w:szCs w:val="21"/>
        </w:rPr>
        <w:t>ont trouvé un emploi et pour plus de la moitié d’entre eux dans la collectivité qui les employait déjà lors du concours.</w:t>
      </w:r>
    </w:p>
    <w:p w:rsidR="002E3C36" w:rsidRPr="003C2B09" w:rsidRDefault="009F77F6" w:rsidP="0084344C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Si les candidats </w:t>
      </w:r>
      <w:r w:rsidR="002E3C36" w:rsidRPr="003C2B09">
        <w:rPr>
          <w:sz w:val="21"/>
          <w:szCs w:val="21"/>
        </w:rPr>
        <w:t>exercent dans tous les types de collectivités, ils sont majoritairement nommés dans des communes (p</w:t>
      </w:r>
      <w:r w:rsidR="001631DA">
        <w:rPr>
          <w:sz w:val="21"/>
          <w:szCs w:val="21"/>
        </w:rPr>
        <w:t>rès</w:t>
      </w:r>
      <w:r w:rsidR="002E3C36" w:rsidRPr="003C2B09">
        <w:rPr>
          <w:sz w:val="21"/>
          <w:szCs w:val="21"/>
        </w:rPr>
        <w:t xml:space="preserve"> de </w:t>
      </w:r>
      <w:r w:rsidR="001631DA">
        <w:rPr>
          <w:sz w:val="21"/>
          <w:szCs w:val="21"/>
        </w:rPr>
        <w:t>70</w:t>
      </w:r>
      <w:r w:rsidR="002E3C36" w:rsidRPr="003C2B09">
        <w:rPr>
          <w:sz w:val="21"/>
          <w:szCs w:val="21"/>
        </w:rPr>
        <w:t xml:space="preserve"> %)</w:t>
      </w:r>
      <w:r w:rsidR="001631DA">
        <w:rPr>
          <w:sz w:val="21"/>
          <w:szCs w:val="21"/>
        </w:rPr>
        <w:t xml:space="preserve"> et notamment dans  celles d’au moins 20 000 habitants </w:t>
      </w:r>
    </w:p>
    <w:p w:rsidR="00C87FB1" w:rsidRPr="003C2B09" w:rsidRDefault="00C87FB1" w:rsidP="00C87FB1">
      <w:pPr>
        <w:spacing w:after="0"/>
        <w:jc w:val="both"/>
        <w:rPr>
          <w:sz w:val="21"/>
          <w:szCs w:val="21"/>
        </w:rPr>
      </w:pPr>
    </w:p>
    <w:p w:rsidR="00C87FB1" w:rsidRDefault="00EE2E85" w:rsidP="00C87FB1">
      <w:pPr>
        <w:spacing w:after="0"/>
        <w:jc w:val="both"/>
        <w:rPr>
          <w:b/>
          <w:sz w:val="21"/>
          <w:szCs w:val="21"/>
          <w:u w:val="single"/>
        </w:rPr>
      </w:pPr>
      <w:r w:rsidRPr="00A31E63">
        <w:rPr>
          <w:b/>
          <w:sz w:val="21"/>
          <w:szCs w:val="21"/>
          <w:u w:val="single"/>
        </w:rPr>
        <w:t xml:space="preserve"> Zoom sur </w:t>
      </w:r>
      <w:r w:rsidR="00A31E63">
        <w:rPr>
          <w:b/>
          <w:sz w:val="21"/>
          <w:szCs w:val="21"/>
          <w:u w:val="single"/>
        </w:rPr>
        <w:t>les</w:t>
      </w:r>
      <w:r w:rsidRPr="00A31E63">
        <w:rPr>
          <w:b/>
          <w:sz w:val="21"/>
          <w:szCs w:val="21"/>
          <w:u w:val="single"/>
        </w:rPr>
        <w:t xml:space="preserve"> lauréats du concours ayant eu une décision favorable de la </w:t>
      </w:r>
      <w:r w:rsidR="00F352C3" w:rsidRPr="00A31E63">
        <w:rPr>
          <w:b/>
          <w:sz w:val="21"/>
          <w:szCs w:val="21"/>
          <w:u w:val="single"/>
        </w:rPr>
        <w:t>commission</w:t>
      </w:r>
    </w:p>
    <w:p w:rsidR="00ED0ACA" w:rsidRDefault="00ED0ACA" w:rsidP="00C87FB1">
      <w:pPr>
        <w:spacing w:after="0"/>
        <w:jc w:val="both"/>
        <w:rPr>
          <w:sz w:val="21"/>
          <w:szCs w:val="21"/>
          <w:u w:val="single"/>
        </w:rPr>
      </w:pPr>
    </w:p>
    <w:p w:rsidR="00CE12FA" w:rsidRDefault="00EE2E85" w:rsidP="00C87FB1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Si</w:t>
      </w:r>
      <w:r w:rsidR="00A16ABD">
        <w:rPr>
          <w:sz w:val="21"/>
          <w:szCs w:val="21"/>
        </w:rPr>
        <w:t xml:space="preserve"> la condition d’accès à ce premier niveau de concours a pu paraitre res</w:t>
      </w:r>
      <w:r w:rsidR="00C87665">
        <w:rPr>
          <w:sz w:val="21"/>
          <w:szCs w:val="21"/>
        </w:rPr>
        <w:t xml:space="preserve">trictive </w:t>
      </w:r>
      <w:r w:rsidR="004703EA">
        <w:rPr>
          <w:sz w:val="21"/>
          <w:szCs w:val="21"/>
        </w:rPr>
        <w:t xml:space="preserve">en exigeant un lien entre le diplôme et le concours, cela ne se traduit pas en </w:t>
      </w:r>
      <w:proofErr w:type="gramStart"/>
      <w:r w:rsidR="004703EA">
        <w:rPr>
          <w:sz w:val="21"/>
          <w:szCs w:val="21"/>
        </w:rPr>
        <w:t>terme</w:t>
      </w:r>
      <w:proofErr w:type="gramEnd"/>
      <w:r w:rsidR="004703EA">
        <w:rPr>
          <w:sz w:val="21"/>
          <w:szCs w:val="21"/>
        </w:rPr>
        <w:t xml:space="preserve"> de réussite au concours.</w:t>
      </w:r>
    </w:p>
    <w:p w:rsidR="00CE12FA" w:rsidRDefault="00CE12FA" w:rsidP="00C87FB1">
      <w:pPr>
        <w:spacing w:after="0"/>
        <w:jc w:val="both"/>
        <w:rPr>
          <w:sz w:val="21"/>
          <w:szCs w:val="21"/>
        </w:rPr>
      </w:pPr>
    </w:p>
    <w:p w:rsidR="00CE12FA" w:rsidRDefault="00117EEE" w:rsidP="00CE12FA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Le</w:t>
      </w:r>
      <w:r w:rsidR="00CE12FA">
        <w:rPr>
          <w:sz w:val="21"/>
          <w:szCs w:val="21"/>
        </w:rPr>
        <w:t xml:space="preserve"> diplôme ne semble pas un critère déterminant pour la réussite au concours aux yeux des candidats admis puisqu’un peu plus de 44% des lauréats ayant eu une décision favorable de la commission plébiscitent la préparation au concours comme facteur déterminant de réussite, 33% évoquent leur diplôme et environ 22% leur expérience professionnelle.</w:t>
      </w:r>
    </w:p>
    <w:p w:rsidR="00CE12FA" w:rsidRDefault="00CE12FA" w:rsidP="00C87FB1">
      <w:pPr>
        <w:spacing w:after="0"/>
        <w:jc w:val="both"/>
        <w:rPr>
          <w:sz w:val="21"/>
          <w:szCs w:val="21"/>
        </w:rPr>
      </w:pPr>
    </w:p>
    <w:p w:rsidR="00161EFF" w:rsidRDefault="00117EEE" w:rsidP="00C87FB1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Cependant</w:t>
      </w:r>
      <w:r w:rsidR="00A31E63">
        <w:rPr>
          <w:sz w:val="21"/>
          <w:szCs w:val="21"/>
        </w:rPr>
        <w:t>, lorsque</w:t>
      </w:r>
      <w:r w:rsidR="00161EFF">
        <w:rPr>
          <w:sz w:val="21"/>
          <w:szCs w:val="21"/>
        </w:rPr>
        <w:t xml:space="preserve"> les diplômes sont évoqués</w:t>
      </w:r>
      <w:r w:rsidR="00CE12FA">
        <w:rPr>
          <w:sz w:val="21"/>
          <w:szCs w:val="21"/>
        </w:rPr>
        <w:t xml:space="preserve"> par les candidats lauréats ils</w:t>
      </w:r>
      <w:r w:rsidR="00104EA2">
        <w:rPr>
          <w:sz w:val="21"/>
          <w:szCs w:val="21"/>
        </w:rPr>
        <w:t xml:space="preserve"> </w:t>
      </w:r>
      <w:r w:rsidR="00161EFF">
        <w:rPr>
          <w:sz w:val="21"/>
          <w:szCs w:val="21"/>
        </w:rPr>
        <w:t xml:space="preserve">citent </w:t>
      </w:r>
      <w:r w:rsidR="000D4B27">
        <w:rPr>
          <w:sz w:val="21"/>
          <w:szCs w:val="21"/>
        </w:rPr>
        <w:t>celui de</w:t>
      </w:r>
      <w:r w:rsidR="00161EFF">
        <w:rPr>
          <w:sz w:val="21"/>
          <w:szCs w:val="21"/>
        </w:rPr>
        <w:t xml:space="preserve"> niveau bac plus 5</w:t>
      </w:r>
      <w:r w:rsidR="00104EA2">
        <w:rPr>
          <w:sz w:val="21"/>
          <w:szCs w:val="21"/>
        </w:rPr>
        <w:t xml:space="preserve"> comme facteur de réussite à 19.6%</w:t>
      </w:r>
      <w:r w:rsidR="00161EFF">
        <w:rPr>
          <w:sz w:val="21"/>
          <w:szCs w:val="21"/>
        </w:rPr>
        <w:t xml:space="preserve">, </w:t>
      </w:r>
      <w:r w:rsidR="00CE12FA">
        <w:rPr>
          <w:sz w:val="21"/>
          <w:szCs w:val="21"/>
        </w:rPr>
        <w:t>ceux de</w:t>
      </w:r>
      <w:r w:rsidR="00161EFF">
        <w:rPr>
          <w:sz w:val="21"/>
          <w:szCs w:val="21"/>
        </w:rPr>
        <w:t xml:space="preserve"> niveau  bac plus 3/4</w:t>
      </w:r>
      <w:r w:rsidR="00104EA2">
        <w:rPr>
          <w:sz w:val="21"/>
          <w:szCs w:val="21"/>
        </w:rPr>
        <w:t xml:space="preserve"> pour 11% et </w:t>
      </w:r>
      <w:r w:rsidR="00161EFF">
        <w:rPr>
          <w:sz w:val="21"/>
          <w:szCs w:val="21"/>
        </w:rPr>
        <w:t>le bac</w:t>
      </w:r>
      <w:r w:rsidR="00104EA2">
        <w:rPr>
          <w:sz w:val="21"/>
          <w:szCs w:val="21"/>
        </w:rPr>
        <w:t xml:space="preserve"> pour 2,8%</w:t>
      </w:r>
      <w:r>
        <w:rPr>
          <w:sz w:val="21"/>
          <w:szCs w:val="21"/>
        </w:rPr>
        <w:t>,</w:t>
      </w:r>
    </w:p>
    <w:p w:rsidR="00161EFF" w:rsidRDefault="00117EEE" w:rsidP="00CE12FA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 et l</w:t>
      </w:r>
      <w:r w:rsidR="00CE12FA" w:rsidRPr="000D4B27">
        <w:rPr>
          <w:sz w:val="21"/>
          <w:szCs w:val="21"/>
          <w:u w:val="single"/>
        </w:rPr>
        <w:t>es</w:t>
      </w:r>
      <w:r w:rsidR="00161EFF" w:rsidRPr="000D4B27">
        <w:rPr>
          <w:sz w:val="21"/>
          <w:szCs w:val="21"/>
          <w:u w:val="single"/>
        </w:rPr>
        <w:t xml:space="preserve"> diplômes cités </w:t>
      </w:r>
      <w:r w:rsidR="00CE12FA" w:rsidRPr="000D4B27">
        <w:rPr>
          <w:sz w:val="21"/>
          <w:szCs w:val="21"/>
          <w:u w:val="single"/>
        </w:rPr>
        <w:t xml:space="preserve">restent </w:t>
      </w:r>
      <w:r w:rsidR="00F55647" w:rsidRPr="000D4B27">
        <w:rPr>
          <w:sz w:val="21"/>
          <w:szCs w:val="21"/>
          <w:u w:val="single"/>
        </w:rPr>
        <w:t>en grande majorité</w:t>
      </w:r>
      <w:r w:rsidR="00CE12FA" w:rsidRPr="000D4B27">
        <w:rPr>
          <w:sz w:val="21"/>
          <w:szCs w:val="21"/>
          <w:u w:val="single"/>
        </w:rPr>
        <w:t xml:space="preserve"> dans le champ de l’une des  spécialités requises</w:t>
      </w:r>
      <w:r w:rsidR="00CE12FA">
        <w:rPr>
          <w:sz w:val="21"/>
          <w:szCs w:val="21"/>
        </w:rPr>
        <w:t xml:space="preserve">, </w:t>
      </w:r>
      <w:r w:rsidR="00104EA2">
        <w:rPr>
          <w:sz w:val="21"/>
          <w:szCs w:val="21"/>
        </w:rPr>
        <w:t>(gestion</w:t>
      </w:r>
      <w:r w:rsidR="00161EFF">
        <w:rPr>
          <w:sz w:val="21"/>
          <w:szCs w:val="21"/>
        </w:rPr>
        <w:t xml:space="preserve"> des ressources documentaires, métiers du livre, document, médiation des ressources documentaires..)</w:t>
      </w:r>
      <w:proofErr w:type="gramStart"/>
      <w:r w:rsidR="00F55647">
        <w:rPr>
          <w:sz w:val="21"/>
          <w:szCs w:val="21"/>
        </w:rPr>
        <w:t>,</w:t>
      </w:r>
      <w:r>
        <w:rPr>
          <w:sz w:val="21"/>
          <w:szCs w:val="21"/>
        </w:rPr>
        <w:t>et</w:t>
      </w:r>
      <w:proofErr w:type="gramEnd"/>
      <w:r>
        <w:rPr>
          <w:sz w:val="21"/>
          <w:szCs w:val="21"/>
        </w:rPr>
        <w:t xml:space="preserve"> comportent donc une approche « métier »</w:t>
      </w:r>
      <w:r w:rsidR="003819D6">
        <w:rPr>
          <w:sz w:val="21"/>
          <w:szCs w:val="21"/>
        </w:rPr>
        <w:t>.</w:t>
      </w:r>
    </w:p>
    <w:p w:rsidR="00CE12FA" w:rsidRDefault="00CE12FA" w:rsidP="00CE12FA">
      <w:pPr>
        <w:spacing w:after="0"/>
        <w:jc w:val="both"/>
        <w:rPr>
          <w:sz w:val="21"/>
          <w:szCs w:val="21"/>
        </w:rPr>
      </w:pPr>
    </w:p>
    <w:p w:rsidR="00CE12FA" w:rsidRDefault="00A31E63" w:rsidP="00CE12FA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Enfin, lorsque</w:t>
      </w:r>
      <w:r w:rsidR="00CE12FA">
        <w:rPr>
          <w:sz w:val="21"/>
          <w:szCs w:val="21"/>
        </w:rPr>
        <w:t xml:space="preserve"> l’expérience est évoquée, c’est quasi exclusivement au sein de b</w:t>
      </w:r>
      <w:r w:rsidR="000D4B27">
        <w:rPr>
          <w:sz w:val="21"/>
          <w:szCs w:val="21"/>
        </w:rPr>
        <w:t xml:space="preserve">ibliothèques ou de médiathèques </w:t>
      </w:r>
      <w:r w:rsidR="008B29A4">
        <w:rPr>
          <w:sz w:val="21"/>
          <w:szCs w:val="21"/>
        </w:rPr>
        <w:t>(aucune</w:t>
      </w:r>
      <w:r w:rsidR="000D4B27">
        <w:rPr>
          <w:sz w:val="21"/>
          <w:szCs w:val="21"/>
        </w:rPr>
        <w:t xml:space="preserve"> expérience privée n’est évoquée par exemple).</w:t>
      </w:r>
    </w:p>
    <w:p w:rsidR="0084344C" w:rsidRDefault="0084344C" w:rsidP="00C87FB1">
      <w:pPr>
        <w:spacing w:after="0"/>
        <w:jc w:val="both"/>
        <w:rPr>
          <w:sz w:val="21"/>
          <w:szCs w:val="21"/>
        </w:rPr>
      </w:pPr>
    </w:p>
    <w:p w:rsidR="00CD3691" w:rsidRDefault="00CD3691" w:rsidP="00C87FB1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Si la préparation au concours est plébiscitée, c’est </w:t>
      </w:r>
      <w:r w:rsidR="00DA23CB">
        <w:rPr>
          <w:sz w:val="21"/>
          <w:szCs w:val="21"/>
        </w:rPr>
        <w:t xml:space="preserve">sans doute </w:t>
      </w:r>
      <w:r>
        <w:rPr>
          <w:sz w:val="21"/>
          <w:szCs w:val="21"/>
        </w:rPr>
        <w:t xml:space="preserve">qu’elle permet </w:t>
      </w:r>
      <w:r w:rsidR="00F55647">
        <w:rPr>
          <w:sz w:val="21"/>
          <w:szCs w:val="21"/>
        </w:rPr>
        <w:t>au candidat</w:t>
      </w:r>
      <w:r>
        <w:rPr>
          <w:sz w:val="21"/>
          <w:szCs w:val="21"/>
        </w:rPr>
        <w:t xml:space="preserve"> </w:t>
      </w:r>
      <w:r w:rsidR="00DA23CB">
        <w:rPr>
          <w:sz w:val="21"/>
          <w:szCs w:val="21"/>
        </w:rPr>
        <w:t xml:space="preserve">de compléter </w:t>
      </w:r>
      <w:r w:rsidR="00CB1661">
        <w:rPr>
          <w:sz w:val="21"/>
          <w:szCs w:val="21"/>
        </w:rPr>
        <w:t>s</w:t>
      </w:r>
      <w:r>
        <w:rPr>
          <w:sz w:val="21"/>
          <w:szCs w:val="21"/>
        </w:rPr>
        <w:t>a connaissance</w:t>
      </w:r>
      <w:r w:rsidR="002C4441">
        <w:rPr>
          <w:sz w:val="21"/>
          <w:szCs w:val="21"/>
        </w:rPr>
        <w:t xml:space="preserve"> de l’environnement territoria</w:t>
      </w:r>
      <w:r w:rsidR="00867A44">
        <w:rPr>
          <w:sz w:val="21"/>
          <w:szCs w:val="21"/>
        </w:rPr>
        <w:t>l</w:t>
      </w:r>
      <w:r w:rsidR="00770420">
        <w:rPr>
          <w:sz w:val="21"/>
          <w:szCs w:val="21"/>
        </w:rPr>
        <w:t xml:space="preserve"> </w:t>
      </w:r>
      <w:r w:rsidR="005345D0">
        <w:rPr>
          <w:sz w:val="21"/>
          <w:szCs w:val="21"/>
        </w:rPr>
        <w:t>qu’</w:t>
      </w:r>
      <w:r w:rsidR="00DA23CB">
        <w:rPr>
          <w:sz w:val="21"/>
          <w:szCs w:val="21"/>
        </w:rPr>
        <w:t>il</w:t>
      </w:r>
      <w:r>
        <w:rPr>
          <w:sz w:val="21"/>
          <w:szCs w:val="21"/>
        </w:rPr>
        <w:t xml:space="preserve"> </w:t>
      </w:r>
      <w:r w:rsidR="00DA23CB">
        <w:rPr>
          <w:sz w:val="21"/>
          <w:szCs w:val="21"/>
        </w:rPr>
        <w:t>peut difficilement appréhender au travers des enseignements universitaires ou sans</w:t>
      </w:r>
      <w:r w:rsidR="007568BA">
        <w:rPr>
          <w:sz w:val="21"/>
          <w:szCs w:val="21"/>
        </w:rPr>
        <w:t xml:space="preserve"> détenir </w:t>
      </w:r>
      <w:r w:rsidR="00391CBE">
        <w:rPr>
          <w:sz w:val="21"/>
          <w:szCs w:val="21"/>
        </w:rPr>
        <w:t>d’expérience</w:t>
      </w:r>
      <w:r w:rsidR="00DA23CB">
        <w:rPr>
          <w:sz w:val="21"/>
          <w:szCs w:val="21"/>
        </w:rPr>
        <w:t xml:space="preserve"> au sein des collectivités.</w:t>
      </w:r>
      <w:r w:rsidR="00EE01DA">
        <w:rPr>
          <w:sz w:val="21"/>
          <w:szCs w:val="21"/>
        </w:rPr>
        <w:t xml:space="preserve"> De plus, la possibilité de </w:t>
      </w:r>
      <w:r w:rsidR="00FF61D4">
        <w:rPr>
          <w:sz w:val="21"/>
          <w:szCs w:val="21"/>
        </w:rPr>
        <w:t xml:space="preserve">pouvoir suivre la préparation au concours,  </w:t>
      </w:r>
      <w:proofErr w:type="gramStart"/>
      <w:r w:rsidR="00FF61D4">
        <w:rPr>
          <w:sz w:val="21"/>
          <w:szCs w:val="21"/>
        </w:rPr>
        <w:t>( au</w:t>
      </w:r>
      <w:proofErr w:type="gramEnd"/>
      <w:r w:rsidR="00FF61D4">
        <w:rPr>
          <w:sz w:val="21"/>
          <w:szCs w:val="21"/>
        </w:rPr>
        <w:t xml:space="preserve"> sein du service préparation au concours du CNFPT) est majoritairement ouverte aux agents déjà en</w:t>
      </w:r>
      <w:r w:rsidR="00391CBE">
        <w:rPr>
          <w:sz w:val="21"/>
          <w:szCs w:val="21"/>
        </w:rPr>
        <w:t xml:space="preserve"> fonction dans une collectivité.</w:t>
      </w:r>
      <w:r w:rsidR="00FF61D4">
        <w:rPr>
          <w:sz w:val="21"/>
          <w:szCs w:val="21"/>
        </w:rPr>
        <w:t xml:space="preserve"> La formation étant axée</w:t>
      </w:r>
      <w:r w:rsidR="007568BA">
        <w:rPr>
          <w:sz w:val="21"/>
          <w:szCs w:val="21"/>
        </w:rPr>
        <w:t xml:space="preserve"> à la fois sur la méthodologie </w:t>
      </w:r>
      <w:r w:rsidR="00FF61D4">
        <w:rPr>
          <w:sz w:val="21"/>
          <w:szCs w:val="21"/>
        </w:rPr>
        <w:t xml:space="preserve">de l’épreuve, mais en lien avec la spécialité </w:t>
      </w:r>
      <w:r w:rsidR="00391CBE">
        <w:rPr>
          <w:sz w:val="21"/>
          <w:szCs w:val="21"/>
        </w:rPr>
        <w:t>choisie (professionnalisation) elle  permet à chacun de compléter son parcours de formation et/ou professionnel, en fonction de ses besoins.</w:t>
      </w:r>
    </w:p>
    <w:p w:rsidR="001D1F47" w:rsidRDefault="001D1F47" w:rsidP="00C87FB1">
      <w:pPr>
        <w:spacing w:after="0"/>
        <w:jc w:val="both"/>
        <w:rPr>
          <w:sz w:val="21"/>
          <w:szCs w:val="21"/>
        </w:rPr>
      </w:pPr>
    </w:p>
    <w:p w:rsidR="00F55647" w:rsidRDefault="00F55647" w:rsidP="001D1F47">
      <w:pPr>
        <w:spacing w:after="0"/>
        <w:jc w:val="both"/>
        <w:rPr>
          <w:sz w:val="21"/>
          <w:szCs w:val="21"/>
        </w:rPr>
      </w:pPr>
      <w:r w:rsidRPr="003512CC">
        <w:rPr>
          <w:b/>
          <w:sz w:val="21"/>
          <w:szCs w:val="21"/>
        </w:rPr>
        <w:t xml:space="preserve">Autrement dit, la réussite au concours </w:t>
      </w:r>
      <w:r w:rsidR="007568BA">
        <w:rPr>
          <w:b/>
          <w:sz w:val="21"/>
          <w:szCs w:val="21"/>
        </w:rPr>
        <w:t xml:space="preserve">externe </w:t>
      </w:r>
      <w:r w:rsidRPr="003512CC">
        <w:rPr>
          <w:b/>
          <w:sz w:val="21"/>
          <w:szCs w:val="21"/>
        </w:rPr>
        <w:t xml:space="preserve">semble difficilement accessible à des candidats ne détenant que le seul niveau requis </w:t>
      </w:r>
      <w:r w:rsidR="008B29A4" w:rsidRPr="003512CC">
        <w:rPr>
          <w:b/>
          <w:sz w:val="21"/>
          <w:szCs w:val="21"/>
        </w:rPr>
        <w:t>(bac</w:t>
      </w:r>
      <w:r w:rsidRPr="003512CC">
        <w:rPr>
          <w:b/>
          <w:sz w:val="21"/>
          <w:szCs w:val="21"/>
        </w:rPr>
        <w:t>) ou sans expérience professionnelle,</w:t>
      </w:r>
      <w:r w:rsidR="0076537A">
        <w:rPr>
          <w:b/>
          <w:sz w:val="21"/>
          <w:szCs w:val="21"/>
        </w:rPr>
        <w:t xml:space="preserve"> ou</w:t>
      </w:r>
      <w:r w:rsidRPr="003512CC">
        <w:rPr>
          <w:b/>
          <w:sz w:val="21"/>
          <w:szCs w:val="21"/>
        </w:rPr>
        <w:t xml:space="preserve"> disposant de dipl</w:t>
      </w:r>
      <w:r w:rsidR="003512CC">
        <w:rPr>
          <w:b/>
          <w:sz w:val="21"/>
          <w:szCs w:val="21"/>
        </w:rPr>
        <w:t>ôme</w:t>
      </w:r>
      <w:r w:rsidR="00391CBE">
        <w:rPr>
          <w:b/>
          <w:sz w:val="21"/>
          <w:szCs w:val="21"/>
        </w:rPr>
        <w:t>s</w:t>
      </w:r>
      <w:r w:rsidR="003512CC">
        <w:rPr>
          <w:b/>
          <w:sz w:val="21"/>
          <w:szCs w:val="21"/>
        </w:rPr>
        <w:t xml:space="preserve"> </w:t>
      </w:r>
      <w:r w:rsidR="007568BA">
        <w:rPr>
          <w:b/>
          <w:sz w:val="21"/>
          <w:szCs w:val="21"/>
        </w:rPr>
        <w:t>généraliste</w:t>
      </w:r>
      <w:r w:rsidR="00391CBE">
        <w:rPr>
          <w:b/>
          <w:sz w:val="21"/>
          <w:szCs w:val="21"/>
        </w:rPr>
        <w:t>s</w:t>
      </w:r>
      <w:r w:rsidRPr="003512CC">
        <w:rPr>
          <w:b/>
          <w:sz w:val="21"/>
          <w:szCs w:val="21"/>
        </w:rPr>
        <w:t xml:space="preserve"> </w:t>
      </w:r>
      <w:r w:rsidR="00391CBE">
        <w:rPr>
          <w:b/>
          <w:sz w:val="21"/>
          <w:szCs w:val="21"/>
        </w:rPr>
        <w:t>sans</w:t>
      </w:r>
      <w:r w:rsidR="0076537A">
        <w:rPr>
          <w:b/>
          <w:sz w:val="21"/>
          <w:szCs w:val="21"/>
        </w:rPr>
        <w:t xml:space="preserve"> expérience dans le domaine</w:t>
      </w:r>
      <w:r>
        <w:rPr>
          <w:sz w:val="21"/>
          <w:szCs w:val="21"/>
        </w:rPr>
        <w:t>.</w:t>
      </w:r>
      <w:r w:rsidR="00EE2E85">
        <w:rPr>
          <w:sz w:val="21"/>
          <w:szCs w:val="21"/>
        </w:rPr>
        <w:t xml:space="preserve"> </w:t>
      </w:r>
    </w:p>
    <w:p w:rsidR="007568BA" w:rsidRDefault="007568BA" w:rsidP="001D1F47">
      <w:pPr>
        <w:jc w:val="both"/>
        <w:rPr>
          <w:rFonts w:eastAsia="Times New Roman" w:cs="Arial"/>
          <w:sz w:val="20"/>
          <w:szCs w:val="20"/>
          <w:lang w:eastAsia="fr-FR"/>
        </w:rPr>
      </w:pPr>
      <w:r>
        <w:rPr>
          <w:sz w:val="21"/>
          <w:szCs w:val="21"/>
        </w:rPr>
        <w:t>Il est en effet rappelé que la note de cadrage effectuée par les o</w:t>
      </w:r>
      <w:r w:rsidR="00391CBE">
        <w:rPr>
          <w:sz w:val="21"/>
          <w:szCs w:val="21"/>
        </w:rPr>
        <w:t>rganisateurs du concours met</w:t>
      </w:r>
      <w:r>
        <w:rPr>
          <w:sz w:val="21"/>
          <w:szCs w:val="21"/>
        </w:rPr>
        <w:t xml:space="preserve"> l’accent sur la nécessité de faire le lien entr</w:t>
      </w:r>
      <w:r w:rsidRPr="007568BA">
        <w:rPr>
          <w:sz w:val="21"/>
          <w:szCs w:val="21"/>
        </w:rPr>
        <w:t>e la formation et le projet professionnel,</w:t>
      </w:r>
      <w:r w:rsidRPr="007568BA">
        <w:rPr>
          <w:rFonts w:eastAsia="Times New Roman" w:cs="Arial"/>
          <w:sz w:val="27"/>
          <w:szCs w:val="27"/>
          <w:lang w:eastAsia="fr-FR"/>
        </w:rPr>
        <w:t xml:space="preserve"> </w:t>
      </w:r>
      <w:r w:rsidRPr="007568BA">
        <w:rPr>
          <w:rFonts w:eastAsia="Times New Roman" w:cs="Arial"/>
          <w:sz w:val="20"/>
          <w:szCs w:val="20"/>
          <w:lang w:eastAsia="fr-FR"/>
        </w:rPr>
        <w:t>la</w:t>
      </w:r>
      <w:r>
        <w:rPr>
          <w:rFonts w:eastAsia="Times New Roman" w:cs="Arial"/>
          <w:sz w:val="27"/>
          <w:szCs w:val="27"/>
          <w:lang w:eastAsia="fr-FR"/>
        </w:rPr>
        <w:t xml:space="preserve"> </w:t>
      </w:r>
      <w:r w:rsidRPr="007568BA">
        <w:rPr>
          <w:rFonts w:eastAsia="Times New Roman" w:cs="Arial"/>
          <w:sz w:val="20"/>
          <w:szCs w:val="20"/>
          <w:lang w:eastAsia="fr-FR"/>
        </w:rPr>
        <w:t>volonté d’évaluer des aptitudes professionnelles plutôt que des connaissances théoriques à visée générale</w:t>
      </w:r>
      <w:r>
        <w:rPr>
          <w:rFonts w:eastAsia="Times New Roman" w:cs="Arial"/>
          <w:sz w:val="20"/>
          <w:szCs w:val="20"/>
          <w:lang w:eastAsia="fr-FR"/>
        </w:rPr>
        <w:t xml:space="preserve">, et que </w:t>
      </w:r>
      <w:r w:rsidR="00391CBE">
        <w:rPr>
          <w:rFonts w:eastAsia="Times New Roman" w:cs="Arial"/>
          <w:sz w:val="20"/>
          <w:szCs w:val="20"/>
          <w:lang w:eastAsia="fr-FR"/>
        </w:rPr>
        <w:t>l’épreuve des</w:t>
      </w:r>
      <w:r w:rsidR="001D1F47">
        <w:rPr>
          <w:rFonts w:eastAsia="Times New Roman" w:cs="Arial"/>
          <w:sz w:val="20"/>
          <w:szCs w:val="20"/>
          <w:lang w:eastAsia="fr-FR"/>
        </w:rPr>
        <w:t xml:space="preserve"> </w:t>
      </w:r>
      <w:r>
        <w:rPr>
          <w:rFonts w:eastAsia="Times New Roman" w:cs="Arial"/>
          <w:sz w:val="20"/>
          <w:szCs w:val="20"/>
          <w:lang w:eastAsia="fr-FR"/>
        </w:rPr>
        <w:t xml:space="preserve">questions </w:t>
      </w:r>
      <w:r w:rsidR="00117EEE">
        <w:rPr>
          <w:rFonts w:eastAsia="Times New Roman" w:cs="Arial"/>
          <w:sz w:val="20"/>
          <w:szCs w:val="20"/>
          <w:lang w:eastAsia="fr-FR"/>
        </w:rPr>
        <w:t>porte sur</w:t>
      </w:r>
      <w:r w:rsidR="00391CBE">
        <w:rPr>
          <w:rFonts w:eastAsia="Times New Roman" w:cs="Arial"/>
          <w:sz w:val="20"/>
          <w:szCs w:val="20"/>
          <w:lang w:eastAsia="fr-FR"/>
        </w:rPr>
        <w:t xml:space="preserve">  les</w:t>
      </w:r>
      <w:r>
        <w:rPr>
          <w:rFonts w:eastAsia="Times New Roman" w:cs="Arial"/>
          <w:sz w:val="20"/>
          <w:szCs w:val="20"/>
          <w:lang w:eastAsia="fr-FR"/>
        </w:rPr>
        <w:t xml:space="preserve"> missions </w:t>
      </w:r>
      <w:r w:rsidR="00391CBE">
        <w:rPr>
          <w:rFonts w:eastAsia="Times New Roman" w:cs="Arial"/>
          <w:sz w:val="20"/>
          <w:szCs w:val="20"/>
          <w:lang w:eastAsia="fr-FR"/>
        </w:rPr>
        <w:t>spécifiques</w:t>
      </w:r>
      <w:r>
        <w:rPr>
          <w:rFonts w:eastAsia="Times New Roman" w:cs="Arial"/>
          <w:sz w:val="20"/>
          <w:szCs w:val="20"/>
          <w:lang w:eastAsia="fr-FR"/>
        </w:rPr>
        <w:t xml:space="preserve"> au métier.</w:t>
      </w:r>
    </w:p>
    <w:p w:rsidR="004D48A8" w:rsidRPr="003C2B09" w:rsidRDefault="004D48A8" w:rsidP="003C2B09">
      <w:pPr>
        <w:spacing w:after="0"/>
        <w:jc w:val="both"/>
        <w:rPr>
          <w:sz w:val="21"/>
          <w:szCs w:val="21"/>
        </w:rPr>
      </w:pPr>
    </w:p>
    <w:p w:rsidR="00F65355" w:rsidRPr="002C4441" w:rsidRDefault="00F65355" w:rsidP="002C4441">
      <w:pPr>
        <w:rPr>
          <w:b/>
          <w:sz w:val="21"/>
          <w:szCs w:val="21"/>
          <w:u w:val="single"/>
        </w:rPr>
      </w:pPr>
      <w:r w:rsidRPr="002C4441">
        <w:rPr>
          <w:b/>
          <w:sz w:val="21"/>
          <w:szCs w:val="21"/>
          <w:u w:val="single"/>
        </w:rPr>
        <w:t>Les modalités de saisine de la commission</w:t>
      </w:r>
    </w:p>
    <w:p w:rsidR="006C0111" w:rsidRDefault="00F65355" w:rsidP="002C4441">
      <w:pPr>
        <w:jc w:val="both"/>
        <w:rPr>
          <w:sz w:val="21"/>
          <w:szCs w:val="21"/>
        </w:rPr>
      </w:pPr>
      <w:r w:rsidRPr="003C2B09">
        <w:rPr>
          <w:sz w:val="21"/>
          <w:szCs w:val="21"/>
        </w:rPr>
        <w:t xml:space="preserve">L’existence de la commission a été connue essentiellement, grâce </w:t>
      </w:r>
      <w:r w:rsidR="0027219D" w:rsidRPr="003C2B09">
        <w:rPr>
          <w:sz w:val="21"/>
          <w:szCs w:val="21"/>
        </w:rPr>
        <w:t>aux</w:t>
      </w:r>
      <w:r w:rsidRPr="003C2B09">
        <w:rPr>
          <w:sz w:val="21"/>
          <w:szCs w:val="21"/>
        </w:rPr>
        <w:t xml:space="preserve"> renseignement</w:t>
      </w:r>
      <w:r w:rsidR="0027219D" w:rsidRPr="003C2B09">
        <w:rPr>
          <w:sz w:val="21"/>
          <w:szCs w:val="21"/>
        </w:rPr>
        <w:t>s fournis</w:t>
      </w:r>
      <w:r w:rsidRPr="003C2B09">
        <w:rPr>
          <w:sz w:val="21"/>
          <w:szCs w:val="21"/>
        </w:rPr>
        <w:t xml:space="preserve"> par l’organisateur du concours (</w:t>
      </w:r>
      <w:r w:rsidR="006C0111">
        <w:rPr>
          <w:sz w:val="21"/>
          <w:szCs w:val="21"/>
        </w:rPr>
        <w:t>49</w:t>
      </w:r>
      <w:r w:rsidRPr="003C2B09">
        <w:rPr>
          <w:sz w:val="21"/>
          <w:szCs w:val="21"/>
        </w:rPr>
        <w:t>%) et le CNFPT (</w:t>
      </w:r>
      <w:r w:rsidR="006C0111">
        <w:rPr>
          <w:sz w:val="21"/>
          <w:szCs w:val="21"/>
        </w:rPr>
        <w:t>19,7%), 14.3% par internet</w:t>
      </w:r>
      <w:r w:rsidR="00144932">
        <w:rPr>
          <w:sz w:val="21"/>
          <w:szCs w:val="21"/>
        </w:rPr>
        <w:t>.</w:t>
      </w:r>
    </w:p>
    <w:p w:rsidR="00144932" w:rsidRDefault="00144932" w:rsidP="002C4441">
      <w:pPr>
        <w:jc w:val="both"/>
        <w:rPr>
          <w:sz w:val="21"/>
          <w:szCs w:val="21"/>
        </w:rPr>
      </w:pPr>
      <w:r>
        <w:rPr>
          <w:sz w:val="21"/>
          <w:szCs w:val="21"/>
        </w:rPr>
        <w:t>Auprès du CNFPT, 65% des agents ont reçu l’information grâce aux services de préparation au concours, et plus de 13%</w:t>
      </w:r>
      <w:r w:rsidR="002C4441">
        <w:rPr>
          <w:sz w:val="21"/>
          <w:szCs w:val="21"/>
        </w:rPr>
        <w:t xml:space="preserve"> grâce aux</w:t>
      </w:r>
      <w:r w:rsidR="00C26E41">
        <w:rPr>
          <w:sz w:val="21"/>
          <w:szCs w:val="21"/>
        </w:rPr>
        <w:t xml:space="preserve"> délégations régionales</w:t>
      </w:r>
      <w:r>
        <w:rPr>
          <w:sz w:val="21"/>
          <w:szCs w:val="21"/>
        </w:rPr>
        <w:t xml:space="preserve"> du CNFPT</w:t>
      </w:r>
    </w:p>
    <w:p w:rsidR="00F65355" w:rsidRPr="003C2B09" w:rsidRDefault="00F65355" w:rsidP="002C4441">
      <w:pPr>
        <w:jc w:val="both"/>
        <w:rPr>
          <w:sz w:val="21"/>
          <w:szCs w:val="21"/>
        </w:rPr>
      </w:pPr>
      <w:r w:rsidRPr="003C2B09">
        <w:rPr>
          <w:sz w:val="21"/>
          <w:szCs w:val="21"/>
        </w:rPr>
        <w:t xml:space="preserve"> Si l’employeur est cité par </w:t>
      </w:r>
      <w:r w:rsidR="006C0111">
        <w:rPr>
          <w:sz w:val="21"/>
          <w:szCs w:val="21"/>
        </w:rPr>
        <w:t>1,4</w:t>
      </w:r>
      <w:r w:rsidRPr="003C2B09">
        <w:rPr>
          <w:sz w:val="21"/>
          <w:szCs w:val="21"/>
        </w:rPr>
        <w:t xml:space="preserve"> % des candidats comme source d’information, curieusement il n’apparait pas comme l’interlocuteur privilégié, alors que près de </w:t>
      </w:r>
      <w:r w:rsidR="002C4441">
        <w:rPr>
          <w:sz w:val="21"/>
          <w:szCs w:val="21"/>
        </w:rPr>
        <w:t>6</w:t>
      </w:r>
      <w:r w:rsidR="006C0111">
        <w:rPr>
          <w:sz w:val="21"/>
          <w:szCs w:val="21"/>
        </w:rPr>
        <w:t>0</w:t>
      </w:r>
      <w:r w:rsidR="008B29A4">
        <w:rPr>
          <w:sz w:val="21"/>
          <w:szCs w:val="21"/>
        </w:rPr>
        <w:t xml:space="preserve"> % des candidats </w:t>
      </w:r>
      <w:r w:rsidRPr="003C2B09">
        <w:rPr>
          <w:sz w:val="21"/>
          <w:szCs w:val="21"/>
        </w:rPr>
        <w:t>ont indiqué être déjà</w:t>
      </w:r>
      <w:r w:rsidR="006C0111">
        <w:rPr>
          <w:sz w:val="21"/>
          <w:szCs w:val="21"/>
        </w:rPr>
        <w:t xml:space="preserve"> en fonction</w:t>
      </w:r>
      <w:r w:rsidR="00FB129F">
        <w:rPr>
          <w:sz w:val="21"/>
          <w:szCs w:val="21"/>
        </w:rPr>
        <w:t xml:space="preserve"> (</w:t>
      </w:r>
      <w:bookmarkStart w:id="0" w:name="_GoBack"/>
      <w:bookmarkEnd w:id="0"/>
      <w:r w:rsidR="002C4441">
        <w:rPr>
          <w:sz w:val="21"/>
          <w:szCs w:val="21"/>
        </w:rPr>
        <w:t>dont  près de 45% en collectivité)</w:t>
      </w:r>
    </w:p>
    <w:p w:rsidR="0027219D" w:rsidRPr="003C2B09" w:rsidRDefault="0027219D" w:rsidP="00870F0C">
      <w:pPr>
        <w:spacing w:after="0"/>
        <w:jc w:val="both"/>
        <w:rPr>
          <w:sz w:val="21"/>
          <w:szCs w:val="21"/>
        </w:rPr>
      </w:pPr>
    </w:p>
    <w:p w:rsidR="00870F0C" w:rsidRPr="002C4441" w:rsidRDefault="00F65355" w:rsidP="002C4441">
      <w:pPr>
        <w:spacing w:after="0"/>
        <w:jc w:val="both"/>
        <w:rPr>
          <w:b/>
          <w:sz w:val="21"/>
          <w:szCs w:val="21"/>
          <w:u w:val="single"/>
        </w:rPr>
      </w:pPr>
      <w:r w:rsidRPr="002C4441">
        <w:rPr>
          <w:b/>
          <w:sz w:val="21"/>
          <w:szCs w:val="21"/>
          <w:u w:val="single"/>
        </w:rPr>
        <w:t>Les raisons de la saisine de la commission</w:t>
      </w:r>
    </w:p>
    <w:p w:rsidR="00870F0C" w:rsidRPr="003C2B09" w:rsidRDefault="00870F0C" w:rsidP="00870F0C">
      <w:pPr>
        <w:spacing w:after="0"/>
        <w:jc w:val="both"/>
        <w:rPr>
          <w:sz w:val="21"/>
          <w:szCs w:val="21"/>
        </w:rPr>
      </w:pPr>
    </w:p>
    <w:p w:rsidR="004A7E0B" w:rsidRDefault="00F65355" w:rsidP="002C4441">
      <w:pPr>
        <w:spacing w:after="0"/>
        <w:jc w:val="both"/>
        <w:rPr>
          <w:sz w:val="21"/>
          <w:szCs w:val="21"/>
        </w:rPr>
      </w:pPr>
      <w:r w:rsidRPr="003C2B09">
        <w:rPr>
          <w:sz w:val="21"/>
          <w:szCs w:val="21"/>
        </w:rPr>
        <w:t xml:space="preserve">Majoritairement, les candidats ont </w:t>
      </w:r>
      <w:r w:rsidR="00414CCC" w:rsidRPr="003C2B09">
        <w:rPr>
          <w:sz w:val="21"/>
          <w:szCs w:val="21"/>
        </w:rPr>
        <w:t>saisi</w:t>
      </w:r>
      <w:r w:rsidRPr="003C2B09">
        <w:rPr>
          <w:sz w:val="21"/>
          <w:szCs w:val="21"/>
        </w:rPr>
        <w:t xml:space="preserve"> la commission pour se présenter à un concours de la fo</w:t>
      </w:r>
      <w:r w:rsidR="004A7E0B">
        <w:rPr>
          <w:sz w:val="21"/>
          <w:szCs w:val="21"/>
        </w:rPr>
        <w:t>nction publique territoriale (89</w:t>
      </w:r>
      <w:r w:rsidR="002C4441">
        <w:rPr>
          <w:sz w:val="21"/>
          <w:szCs w:val="21"/>
        </w:rPr>
        <w:t xml:space="preserve">%) et </w:t>
      </w:r>
      <w:r w:rsidR="004A7E0B">
        <w:rPr>
          <w:sz w:val="21"/>
          <w:szCs w:val="21"/>
        </w:rPr>
        <w:t>près de 7</w:t>
      </w:r>
      <w:r w:rsidRPr="003C2B09">
        <w:rPr>
          <w:sz w:val="21"/>
          <w:szCs w:val="21"/>
        </w:rPr>
        <w:t xml:space="preserve"> % des candidats ont présenté une</w:t>
      </w:r>
      <w:r w:rsidR="002C4441">
        <w:rPr>
          <w:sz w:val="21"/>
          <w:szCs w:val="21"/>
        </w:rPr>
        <w:t xml:space="preserve"> double</w:t>
      </w:r>
      <w:r w:rsidRPr="003C2B09">
        <w:rPr>
          <w:sz w:val="21"/>
          <w:szCs w:val="21"/>
        </w:rPr>
        <w:t xml:space="preserve"> dema</w:t>
      </w:r>
      <w:r w:rsidR="004A7E0B">
        <w:rPr>
          <w:sz w:val="21"/>
          <w:szCs w:val="21"/>
        </w:rPr>
        <w:t xml:space="preserve">nde pour un autre concours, </w:t>
      </w:r>
      <w:r w:rsidR="002C4441">
        <w:rPr>
          <w:sz w:val="21"/>
          <w:szCs w:val="21"/>
        </w:rPr>
        <w:t>dans la même filière.</w:t>
      </w:r>
    </w:p>
    <w:p w:rsidR="00414CCC" w:rsidRPr="003C2B09" w:rsidRDefault="00414CCC" w:rsidP="002C4441">
      <w:pPr>
        <w:spacing w:after="0"/>
        <w:jc w:val="both"/>
        <w:rPr>
          <w:sz w:val="21"/>
          <w:szCs w:val="21"/>
        </w:rPr>
      </w:pPr>
      <w:r w:rsidRPr="003C2B09">
        <w:rPr>
          <w:sz w:val="21"/>
          <w:szCs w:val="21"/>
        </w:rPr>
        <w:t>Près de 2% ont utilisé la décision de la commission pour se présenter à des concours d’une autre fonction publique. </w:t>
      </w:r>
    </w:p>
    <w:p w:rsidR="00F65355" w:rsidRPr="003C2B09" w:rsidRDefault="00F65355" w:rsidP="002C4441">
      <w:pPr>
        <w:spacing w:after="0"/>
        <w:jc w:val="both"/>
        <w:rPr>
          <w:sz w:val="21"/>
          <w:szCs w:val="21"/>
        </w:rPr>
      </w:pPr>
    </w:p>
    <w:p w:rsidR="00C014A4" w:rsidRPr="003C2B09" w:rsidRDefault="004A7E0B" w:rsidP="002C4441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4%</w:t>
      </w:r>
      <w:r w:rsidR="008372ED" w:rsidRPr="003C2B09">
        <w:rPr>
          <w:sz w:val="21"/>
          <w:szCs w:val="21"/>
        </w:rPr>
        <w:t xml:space="preserve"> </w:t>
      </w:r>
      <w:r w:rsidR="00414CCC" w:rsidRPr="003C2B09">
        <w:rPr>
          <w:sz w:val="21"/>
          <w:szCs w:val="21"/>
        </w:rPr>
        <w:t xml:space="preserve">des interrogés ont indiqué </w:t>
      </w:r>
      <w:r w:rsidR="008372ED" w:rsidRPr="003C2B09">
        <w:rPr>
          <w:sz w:val="21"/>
          <w:szCs w:val="21"/>
        </w:rPr>
        <w:t xml:space="preserve">avoir utilisé la décision </w:t>
      </w:r>
      <w:r w:rsidR="00414CCC" w:rsidRPr="003C2B09">
        <w:rPr>
          <w:sz w:val="21"/>
          <w:szCs w:val="21"/>
        </w:rPr>
        <w:t xml:space="preserve">de la commission </w:t>
      </w:r>
      <w:r w:rsidR="008372ED" w:rsidRPr="003C2B09">
        <w:rPr>
          <w:sz w:val="21"/>
          <w:szCs w:val="21"/>
        </w:rPr>
        <w:t>pour obtenir une promotion interne,</w:t>
      </w:r>
      <w:r w:rsidR="00414CCC" w:rsidRPr="003C2B09">
        <w:rPr>
          <w:sz w:val="21"/>
          <w:szCs w:val="21"/>
        </w:rPr>
        <w:t xml:space="preserve"> ou</w:t>
      </w:r>
      <w:r w:rsidR="008372ED" w:rsidRPr="003C2B09">
        <w:rPr>
          <w:sz w:val="21"/>
          <w:szCs w:val="21"/>
        </w:rPr>
        <w:t xml:space="preserve"> dans le cadre d’une procédure de VAE</w:t>
      </w:r>
      <w:r w:rsidR="00414CCC" w:rsidRPr="003C2B09">
        <w:rPr>
          <w:sz w:val="21"/>
          <w:szCs w:val="21"/>
        </w:rPr>
        <w:t>,</w:t>
      </w:r>
      <w:r w:rsidR="008372ED" w:rsidRPr="003C2B09">
        <w:rPr>
          <w:sz w:val="21"/>
          <w:szCs w:val="21"/>
        </w:rPr>
        <w:t xml:space="preserve"> ou </w:t>
      </w:r>
      <w:r w:rsidR="00414CCC" w:rsidRPr="003C2B09">
        <w:rPr>
          <w:sz w:val="21"/>
          <w:szCs w:val="21"/>
        </w:rPr>
        <w:t xml:space="preserve">encore </w:t>
      </w:r>
      <w:r w:rsidR="008372ED" w:rsidRPr="003C2B09">
        <w:rPr>
          <w:sz w:val="21"/>
          <w:szCs w:val="21"/>
        </w:rPr>
        <w:t>pour obtenir un recrutement en qualité de contractuel.</w:t>
      </w:r>
    </w:p>
    <w:sectPr w:rsidR="00C014A4" w:rsidRPr="003C2B09" w:rsidSect="00503E3B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50" w:rsidRDefault="00E63450" w:rsidP="00C014A4">
      <w:pPr>
        <w:spacing w:after="0" w:line="240" w:lineRule="auto"/>
      </w:pPr>
      <w:r>
        <w:separator/>
      </w:r>
    </w:p>
  </w:endnote>
  <w:endnote w:type="continuationSeparator" w:id="0">
    <w:p w:rsidR="00E63450" w:rsidRDefault="00E63450" w:rsidP="00C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740756"/>
      <w:docPartObj>
        <w:docPartGallery w:val="Page Numbers (Bottom of Page)"/>
        <w:docPartUnique/>
      </w:docPartObj>
    </w:sdtPr>
    <w:sdtEndPr/>
    <w:sdtContent>
      <w:p w:rsidR="00C014A4" w:rsidRDefault="00C014A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C1DB14" wp14:editId="0CFE59B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457200" cy="438150"/>
                  <wp:effectExtent l="0" t="0" r="19050" b="1905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381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014A4" w:rsidRDefault="00C014A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B129F" w:rsidRPr="00FB129F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36pt;height:34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" o:allowincell="f" adj="14135" strokecolor="gray" strokeweight=".25pt">
                  <v:textbox>
                    <w:txbxContent>
                      <w:p w:rsidR="00C014A4" w:rsidRDefault="00C014A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B129F" w:rsidRPr="00FB129F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50" w:rsidRDefault="00E63450" w:rsidP="00C014A4">
      <w:pPr>
        <w:spacing w:after="0" w:line="240" w:lineRule="auto"/>
      </w:pPr>
      <w:r>
        <w:separator/>
      </w:r>
    </w:p>
  </w:footnote>
  <w:footnote w:type="continuationSeparator" w:id="0">
    <w:p w:rsidR="00E63450" w:rsidRDefault="00E63450" w:rsidP="00C0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4422"/>
    <w:multiLevelType w:val="hybridMultilevel"/>
    <w:tmpl w:val="268E958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A77AA6"/>
    <w:multiLevelType w:val="hybridMultilevel"/>
    <w:tmpl w:val="B2FCF07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2A0B31"/>
    <w:multiLevelType w:val="hybridMultilevel"/>
    <w:tmpl w:val="AD16AB16"/>
    <w:lvl w:ilvl="0" w:tplc="E2B86B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20C8A"/>
    <w:multiLevelType w:val="hybridMultilevel"/>
    <w:tmpl w:val="C6568B88"/>
    <w:lvl w:ilvl="0" w:tplc="2A683C32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91"/>
    <w:rsid w:val="00002F71"/>
    <w:rsid w:val="000424B5"/>
    <w:rsid w:val="0008330F"/>
    <w:rsid w:val="000B3682"/>
    <w:rsid w:val="000C747F"/>
    <w:rsid w:val="000D4B27"/>
    <w:rsid w:val="000D7EE4"/>
    <w:rsid w:val="000F67E1"/>
    <w:rsid w:val="00104EA2"/>
    <w:rsid w:val="00117EEE"/>
    <w:rsid w:val="0014285D"/>
    <w:rsid w:val="00142903"/>
    <w:rsid w:val="00144932"/>
    <w:rsid w:val="00161EFF"/>
    <w:rsid w:val="001631DA"/>
    <w:rsid w:val="00171CA7"/>
    <w:rsid w:val="001805C0"/>
    <w:rsid w:val="0018440C"/>
    <w:rsid w:val="00185769"/>
    <w:rsid w:val="00196044"/>
    <w:rsid w:val="001B0F90"/>
    <w:rsid w:val="001B20FE"/>
    <w:rsid w:val="001D1F47"/>
    <w:rsid w:val="001F33BB"/>
    <w:rsid w:val="00271F87"/>
    <w:rsid w:val="0027219D"/>
    <w:rsid w:val="002904A4"/>
    <w:rsid w:val="00290BA0"/>
    <w:rsid w:val="002A13DB"/>
    <w:rsid w:val="002A194F"/>
    <w:rsid w:val="002A3B6E"/>
    <w:rsid w:val="002A4CC9"/>
    <w:rsid w:val="002C4441"/>
    <w:rsid w:val="002E3C36"/>
    <w:rsid w:val="002F0800"/>
    <w:rsid w:val="00334303"/>
    <w:rsid w:val="003512CC"/>
    <w:rsid w:val="003633F0"/>
    <w:rsid w:val="003819D6"/>
    <w:rsid w:val="00384B82"/>
    <w:rsid w:val="00391CBE"/>
    <w:rsid w:val="003C2B09"/>
    <w:rsid w:val="003E46DF"/>
    <w:rsid w:val="00401B90"/>
    <w:rsid w:val="00414CCC"/>
    <w:rsid w:val="00446377"/>
    <w:rsid w:val="004633EF"/>
    <w:rsid w:val="004703EA"/>
    <w:rsid w:val="004A640E"/>
    <w:rsid w:val="004A7E0B"/>
    <w:rsid w:val="004B43AF"/>
    <w:rsid w:val="004C297B"/>
    <w:rsid w:val="004D3307"/>
    <w:rsid w:val="004D48A8"/>
    <w:rsid w:val="00503E3B"/>
    <w:rsid w:val="00511C57"/>
    <w:rsid w:val="00514D03"/>
    <w:rsid w:val="005345D0"/>
    <w:rsid w:val="005509E8"/>
    <w:rsid w:val="005544E5"/>
    <w:rsid w:val="00561D5C"/>
    <w:rsid w:val="00561EA4"/>
    <w:rsid w:val="005C4192"/>
    <w:rsid w:val="00602E07"/>
    <w:rsid w:val="00614090"/>
    <w:rsid w:val="00662DE3"/>
    <w:rsid w:val="0067491C"/>
    <w:rsid w:val="006A6EB1"/>
    <w:rsid w:val="006C0111"/>
    <w:rsid w:val="006D5C3C"/>
    <w:rsid w:val="006E57AA"/>
    <w:rsid w:val="006E66F4"/>
    <w:rsid w:val="00700204"/>
    <w:rsid w:val="007014CA"/>
    <w:rsid w:val="00744B1B"/>
    <w:rsid w:val="007568BA"/>
    <w:rsid w:val="00761E97"/>
    <w:rsid w:val="0076537A"/>
    <w:rsid w:val="00770420"/>
    <w:rsid w:val="007713B0"/>
    <w:rsid w:val="00787F80"/>
    <w:rsid w:val="00791CB8"/>
    <w:rsid w:val="007A3A6B"/>
    <w:rsid w:val="007A5DAE"/>
    <w:rsid w:val="007A5F90"/>
    <w:rsid w:val="007B42FD"/>
    <w:rsid w:val="007B7F8E"/>
    <w:rsid w:val="007D658C"/>
    <w:rsid w:val="007F067E"/>
    <w:rsid w:val="007F28C4"/>
    <w:rsid w:val="00815026"/>
    <w:rsid w:val="008372ED"/>
    <w:rsid w:val="0084344C"/>
    <w:rsid w:val="00864457"/>
    <w:rsid w:val="00867A44"/>
    <w:rsid w:val="00870A72"/>
    <w:rsid w:val="00870F0C"/>
    <w:rsid w:val="00870F4C"/>
    <w:rsid w:val="00892093"/>
    <w:rsid w:val="008947A0"/>
    <w:rsid w:val="008A5C98"/>
    <w:rsid w:val="008B0728"/>
    <w:rsid w:val="008B29A4"/>
    <w:rsid w:val="008D6971"/>
    <w:rsid w:val="00930810"/>
    <w:rsid w:val="00937ADB"/>
    <w:rsid w:val="00940694"/>
    <w:rsid w:val="00951F94"/>
    <w:rsid w:val="00965244"/>
    <w:rsid w:val="00984677"/>
    <w:rsid w:val="00994EE5"/>
    <w:rsid w:val="00996820"/>
    <w:rsid w:val="00997F95"/>
    <w:rsid w:val="009B3BCD"/>
    <w:rsid w:val="009C6465"/>
    <w:rsid w:val="009D37A6"/>
    <w:rsid w:val="009F77F6"/>
    <w:rsid w:val="00A049D8"/>
    <w:rsid w:val="00A16ABD"/>
    <w:rsid w:val="00A262AC"/>
    <w:rsid w:val="00A31E63"/>
    <w:rsid w:val="00A423B4"/>
    <w:rsid w:val="00A43932"/>
    <w:rsid w:val="00A710AE"/>
    <w:rsid w:val="00A9094C"/>
    <w:rsid w:val="00AB06F9"/>
    <w:rsid w:val="00AB5326"/>
    <w:rsid w:val="00AD23E9"/>
    <w:rsid w:val="00AD3BBB"/>
    <w:rsid w:val="00AD6961"/>
    <w:rsid w:val="00B038A5"/>
    <w:rsid w:val="00B12449"/>
    <w:rsid w:val="00B158FC"/>
    <w:rsid w:val="00B45829"/>
    <w:rsid w:val="00BC0760"/>
    <w:rsid w:val="00BC1ACF"/>
    <w:rsid w:val="00BD6D60"/>
    <w:rsid w:val="00BF158E"/>
    <w:rsid w:val="00C014A4"/>
    <w:rsid w:val="00C06C88"/>
    <w:rsid w:val="00C0716E"/>
    <w:rsid w:val="00C26E41"/>
    <w:rsid w:val="00C5641E"/>
    <w:rsid w:val="00C7300C"/>
    <w:rsid w:val="00C813BD"/>
    <w:rsid w:val="00C87665"/>
    <w:rsid w:val="00C87FB1"/>
    <w:rsid w:val="00C9145A"/>
    <w:rsid w:val="00C977E4"/>
    <w:rsid w:val="00CA2776"/>
    <w:rsid w:val="00CB0B0F"/>
    <w:rsid w:val="00CB1661"/>
    <w:rsid w:val="00CB6B9D"/>
    <w:rsid w:val="00CB79FF"/>
    <w:rsid w:val="00CC489F"/>
    <w:rsid w:val="00CD3691"/>
    <w:rsid w:val="00CE12FA"/>
    <w:rsid w:val="00CF7985"/>
    <w:rsid w:val="00D00D03"/>
    <w:rsid w:val="00D05EF0"/>
    <w:rsid w:val="00D218F2"/>
    <w:rsid w:val="00D41FAC"/>
    <w:rsid w:val="00D506A5"/>
    <w:rsid w:val="00D62818"/>
    <w:rsid w:val="00D66FC1"/>
    <w:rsid w:val="00D74B56"/>
    <w:rsid w:val="00D83D5E"/>
    <w:rsid w:val="00DA23CB"/>
    <w:rsid w:val="00DB4B2D"/>
    <w:rsid w:val="00DE272F"/>
    <w:rsid w:val="00E14E31"/>
    <w:rsid w:val="00E269C4"/>
    <w:rsid w:val="00E31BFF"/>
    <w:rsid w:val="00E63450"/>
    <w:rsid w:val="00E71891"/>
    <w:rsid w:val="00E80317"/>
    <w:rsid w:val="00EA49EB"/>
    <w:rsid w:val="00EA7AF2"/>
    <w:rsid w:val="00EB65D2"/>
    <w:rsid w:val="00ED0ACA"/>
    <w:rsid w:val="00EE01DA"/>
    <w:rsid w:val="00EE2E85"/>
    <w:rsid w:val="00EF7DAD"/>
    <w:rsid w:val="00F352C3"/>
    <w:rsid w:val="00F41691"/>
    <w:rsid w:val="00F50A8F"/>
    <w:rsid w:val="00F55647"/>
    <w:rsid w:val="00F6355E"/>
    <w:rsid w:val="00F65355"/>
    <w:rsid w:val="00FB129F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4A4"/>
  </w:style>
  <w:style w:type="paragraph" w:styleId="Pieddepage">
    <w:name w:val="footer"/>
    <w:basedOn w:val="Normal"/>
    <w:link w:val="PieddepageCar"/>
    <w:uiPriority w:val="99"/>
    <w:unhideWhenUsed/>
    <w:rsid w:val="00C0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4A4"/>
  </w:style>
  <w:style w:type="paragraph" w:styleId="Textedebulles">
    <w:name w:val="Balloon Text"/>
    <w:basedOn w:val="Normal"/>
    <w:link w:val="TextedebullesCar"/>
    <w:uiPriority w:val="99"/>
    <w:semiHidden/>
    <w:unhideWhenUsed/>
    <w:rsid w:val="00C9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3E3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61D5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61D5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61D5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1D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1D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1D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4A4"/>
  </w:style>
  <w:style w:type="paragraph" w:styleId="Pieddepage">
    <w:name w:val="footer"/>
    <w:basedOn w:val="Normal"/>
    <w:link w:val="PieddepageCar"/>
    <w:uiPriority w:val="99"/>
    <w:unhideWhenUsed/>
    <w:rsid w:val="00C0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4A4"/>
  </w:style>
  <w:style w:type="paragraph" w:styleId="Textedebulles">
    <w:name w:val="Balloon Text"/>
    <w:basedOn w:val="Normal"/>
    <w:link w:val="TextedebullesCar"/>
    <w:uiPriority w:val="99"/>
    <w:semiHidden/>
    <w:unhideWhenUsed/>
    <w:rsid w:val="00C9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7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3E3B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61D5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61D5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61D5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1D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1D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1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 sz="1200"/>
              <a:t>Niveau</a:t>
            </a:r>
            <a:r>
              <a:rPr lang="fr-FR" sz="1200" baseline="0"/>
              <a:t> de diplomes détenus par les candidats</a:t>
            </a:r>
            <a:endParaRPr lang="fr-FR" sz="1200"/>
          </a:p>
        </c:rich>
      </c:tx>
      <c:layout>
        <c:manualLayout>
          <c:xMode val="edge"/>
          <c:yMode val="edge"/>
          <c:x val="0.2541181102362205"/>
          <c:y val="2.777777777777777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Feuil1!$A$20:$A$26</c:f>
              <c:strCache>
                <c:ptCount val="7"/>
                <c:pt idx="0">
                  <c:v>non réponse</c:v>
                </c:pt>
                <c:pt idx="1">
                  <c:v>bac plus 5 et plus</c:v>
                </c:pt>
                <c:pt idx="2">
                  <c:v>bac plus 4</c:v>
                </c:pt>
                <c:pt idx="3">
                  <c:v>bac plus 3 </c:v>
                </c:pt>
                <c:pt idx="4">
                  <c:v>bac plus 2</c:v>
                </c:pt>
                <c:pt idx="5">
                  <c:v>bac</c:v>
                </c:pt>
                <c:pt idx="6">
                  <c:v>inférieur au bac</c:v>
                </c:pt>
              </c:strCache>
            </c:strRef>
          </c:cat>
          <c:val>
            <c:numRef>
              <c:f>Feuil1!$B$20:$B$26</c:f>
              <c:numCache>
                <c:formatCode>General</c:formatCode>
                <c:ptCount val="7"/>
                <c:pt idx="0">
                  <c:v>6</c:v>
                </c:pt>
                <c:pt idx="1">
                  <c:v>59</c:v>
                </c:pt>
                <c:pt idx="2">
                  <c:v>30</c:v>
                </c:pt>
                <c:pt idx="3">
                  <c:v>31</c:v>
                </c:pt>
                <c:pt idx="4">
                  <c:v>7</c:v>
                </c:pt>
                <c:pt idx="5">
                  <c:v>14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083968"/>
        <c:axId val="45830912"/>
        <c:axId val="0"/>
      </c:bar3DChart>
      <c:catAx>
        <c:axId val="160083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45830912"/>
        <c:crosses val="autoZero"/>
        <c:auto val="1"/>
        <c:lblAlgn val="ctr"/>
        <c:lblOffset val="100"/>
        <c:noMultiLvlLbl val="0"/>
      </c:catAx>
      <c:valAx>
        <c:axId val="45830912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60083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élément considéré  par le candidat comme facteur essentiel de sa réussite au concours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82435746564485E-2"/>
          <c:y val="0.29548940601130708"/>
          <c:w val="0.92524133906104988"/>
          <c:h val="0.26219515722444842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Feuil1!$A$1:$A$7</c:f>
              <c:strCache>
                <c:ptCount val="7"/>
                <c:pt idx="0">
                  <c:v>expérience professionnelle </c:v>
                </c:pt>
                <c:pt idx="1">
                  <c:v>préparation concours</c:v>
                </c:pt>
                <c:pt idx="2">
                  <c:v>form bac plus5</c:v>
                </c:pt>
                <c:pt idx="3">
                  <c:v>bac plus 4</c:v>
                </c:pt>
                <c:pt idx="4">
                  <c:v>bac plus 3</c:v>
                </c:pt>
                <c:pt idx="5">
                  <c:v>bac plus2</c:v>
                </c:pt>
                <c:pt idx="6">
                  <c:v>bac</c:v>
                </c:pt>
              </c:strCache>
            </c:strRef>
          </c:cat>
          <c:val>
            <c:numRef>
              <c:f>Feuil1!$B$1:$B$7</c:f>
              <c:numCache>
                <c:formatCode>General</c:formatCode>
                <c:ptCount val="7"/>
                <c:pt idx="0">
                  <c:v>8</c:v>
                </c:pt>
                <c:pt idx="1">
                  <c:v>16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2186880"/>
        <c:axId val="132188416"/>
        <c:axId val="0"/>
      </c:bar3DChart>
      <c:catAx>
        <c:axId val="1321868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32188416"/>
        <c:crosses val="autoZero"/>
        <c:auto val="1"/>
        <c:lblAlgn val="ctr"/>
        <c:lblOffset val="100"/>
        <c:noMultiLvlLbl val="0"/>
      </c:catAx>
      <c:valAx>
        <c:axId val="132188416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3218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B52A8-2BFE-4969-BEA9-23E3C492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MAZZONI Claude</dc:creator>
  <cp:lastModifiedBy>CAOUISSIN Laetitia</cp:lastModifiedBy>
  <cp:revision>9</cp:revision>
  <dcterms:created xsi:type="dcterms:W3CDTF">2015-09-17T07:30:00Z</dcterms:created>
  <dcterms:modified xsi:type="dcterms:W3CDTF">2015-09-25T08:01:00Z</dcterms:modified>
</cp:coreProperties>
</file>